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10" w:lineRule="exact"/>
        <w:rPr>
          <w:rFonts w:hint="eastAsia" w:ascii="黑体" w:eastAsia="黑体"/>
          <w:sz w:val="32"/>
          <w:szCs w:val="32"/>
        </w:rPr>
      </w:pPr>
    </w:p>
    <w:p>
      <w:pPr>
        <w:spacing w:line="510" w:lineRule="exact"/>
        <w:rPr>
          <w:rFonts w:hint="eastAsia" w:ascii="黑体" w:eastAsia="黑体"/>
          <w:sz w:val="32"/>
          <w:szCs w:val="32"/>
        </w:rPr>
      </w:pPr>
    </w:p>
    <w:p>
      <w:pPr>
        <w:spacing w:line="1800" w:lineRule="exact"/>
        <w:jc w:val="center"/>
        <w:rPr>
          <w:rFonts w:eastAsia="方正小标宋简体"/>
          <w:color w:val="FF0000"/>
          <w:w w:val="66"/>
          <w:sz w:val="126"/>
          <w:szCs w:val="126"/>
        </w:rPr>
      </w:pPr>
      <w:r>
        <w:rPr>
          <w:rFonts w:hint="eastAsia" w:ascii="方正小标宋简体" w:eastAsia="方正小标宋简体"/>
          <w:color w:val="FF0000"/>
          <w:spacing w:val="20"/>
          <w:w w:val="66"/>
          <w:sz w:val="126"/>
          <w:szCs w:val="126"/>
        </w:rPr>
        <w:t>安徽省广播电视局</w:t>
      </w:r>
      <w:r>
        <w:rPr>
          <w:rFonts w:hint="eastAsia" w:eastAsia="方正小标宋简体"/>
          <w:color w:val="FF0000"/>
          <w:spacing w:val="20"/>
          <w:w w:val="66"/>
          <w:sz w:val="126"/>
          <w:szCs w:val="126"/>
        </w:rPr>
        <w:t>文</w:t>
      </w:r>
      <w:r>
        <w:rPr>
          <w:rFonts w:hint="eastAsia" w:eastAsia="方正小标宋简体"/>
          <w:color w:val="FF0000"/>
          <w:w w:val="66"/>
          <w:sz w:val="126"/>
          <w:szCs w:val="126"/>
        </w:rPr>
        <w:t>件</w:t>
      </w:r>
    </w:p>
    <w:p>
      <w:pPr>
        <w:rPr>
          <w:rFonts w:hint="eastAsia"/>
          <w:szCs w:val="32"/>
        </w:rPr>
      </w:pPr>
    </w:p>
    <w:p>
      <w:pPr>
        <w:spacing w:line="300" w:lineRule="exact"/>
        <w:jc w:val="center"/>
        <w:rPr>
          <w:rFonts w:hint="eastAsia"/>
        </w:rPr>
      </w:pPr>
    </w:p>
    <w:p>
      <w:pPr>
        <w:spacing w:line="600" w:lineRule="exact"/>
        <w:ind w:right="210" w:rightChars="100"/>
        <w:jc w:val="center"/>
        <w:rPr>
          <w:rFonts w:hint="eastAsia" w:eastAsia="仿宋_GB2312"/>
          <w:sz w:val="32"/>
          <w:szCs w:val="32"/>
        </w:rPr>
      </w:pPr>
      <w:r>
        <w:rPr>
          <w:rFonts w:hint="eastAsia" w:eastAsia="仿宋_GB2312"/>
          <w:sz w:val="32"/>
          <w:szCs w:val="32"/>
        </w:rPr>
        <w:t>皖广</w:t>
      </w:r>
      <w:r>
        <w:rPr>
          <w:rFonts w:hint="eastAsia" w:eastAsia="仿宋_GB2312"/>
          <w:sz w:val="32"/>
          <w:szCs w:val="32"/>
          <w:lang w:eastAsia="zh-CN"/>
        </w:rPr>
        <w:t>通</w:t>
      </w:r>
      <w:r>
        <w:rPr>
          <w:rFonts w:hint="eastAsia" w:eastAsia="仿宋_GB2312"/>
          <w:sz w:val="32"/>
          <w:szCs w:val="32"/>
        </w:rPr>
        <w:t>〔20</w:t>
      </w:r>
      <w:r>
        <w:rPr>
          <w:rFonts w:hint="eastAsia" w:eastAsia="仿宋_GB2312"/>
          <w:sz w:val="32"/>
          <w:szCs w:val="32"/>
          <w:lang w:val="en-US" w:eastAsia="zh-CN"/>
        </w:rPr>
        <w:t>20</w:t>
      </w:r>
      <w:r>
        <w:rPr>
          <w:rFonts w:hint="eastAsia" w:eastAsia="仿宋_GB2312"/>
          <w:sz w:val="32"/>
          <w:szCs w:val="32"/>
        </w:rPr>
        <w:t>〕</w:t>
      </w:r>
      <w:r>
        <w:rPr>
          <w:rFonts w:hint="eastAsia" w:eastAsia="仿宋_GB2312"/>
          <w:sz w:val="32"/>
          <w:szCs w:val="32"/>
          <w:lang w:val="en-US" w:eastAsia="zh-CN"/>
        </w:rPr>
        <w:t>46</w:t>
      </w:r>
      <w:r>
        <w:rPr>
          <w:rFonts w:hint="eastAsia" w:eastAsia="仿宋_GB2312"/>
          <w:sz w:val="32"/>
          <w:szCs w:val="32"/>
        </w:rPr>
        <w:t>号</w:t>
      </w:r>
    </w:p>
    <w:p>
      <w:pPr>
        <w:spacing w:line="592" w:lineRule="exact"/>
        <w:rPr>
          <w:rFonts w:eastAsia="仿宋_GB2312"/>
          <w:sz w:val="32"/>
          <w:szCs w:val="32"/>
        </w:rPr>
      </w:pPr>
      <w:r>
        <w:rPr>
          <w:rFonts w:eastAsia="方正小标宋简体"/>
          <w:sz w:val="160"/>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ge">
                  <wp:posOffset>3757930</wp:posOffset>
                </wp:positionV>
                <wp:extent cx="5615940" cy="0"/>
                <wp:effectExtent l="0" t="12700" r="3810" b="15875"/>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1pt;margin-top:295.9pt;height:0pt;width:442.2pt;mso-position-vertical-relative:page;z-index:251659264;mso-width-relative:page;mso-height-relative:page;" filled="f" stroked="t" coordsize="21600,21600" o:gfxdata="UEsDBAoAAAAAAIdO4kAAAAAAAAAAAAAAAAAEAAAAZHJzL1BLAwQUAAAACACHTuJAEJN4qtYAAAAJ&#10;AQAADwAAAGRycy9kb3ducmV2LnhtbE2PzU7DMBCE70i8g7VI3FonFY3SEKcHEEhwo1Aqbm68iSPs&#10;dRS7P7w9i4QEx50ZzX5Tr8/eiSNOcQikIJ9nIJDaYAbqFby9PsxKEDFpMtoFQgVfGGHdXF7UujLh&#10;RC943KRecAnFSiuwKY2VlLG16HWchxGJvS5MXic+p16aSZ+43Du5yLJCej0Qf7B6xDuL7efm4BU8&#10;vePWbD+e75fBmbzbPRaxs4VS11d5dgsi4Tn9heEHn9GhYaZ9OJCJwimYLTioYLnKeQH7ZXnDyv5X&#10;kU0t/y9ovgFQSwMEFAAAAAgAh07iQGcw0IfcAQAAlwMAAA4AAABkcnMvZTJvRG9jLnhtbK1TS44T&#10;MRDdI3EHy3vSnWgyglY6s5gQNggiAQeo2O5uS/7J5Uknl+ACSOxgxZI9t2HmGJSdTIbPBiGyqJRd&#10;5Vf1XlUvrvbWsJ2KqL1r+XRSc6ac8FK7vuXv3q6fPOUMEzgJxjvV8oNCfrV8/GgxhkbN/OCNVJER&#10;iMNmDC0fUgpNVaEYlAWc+KAcBTsfLSQ6xr6SEUZCt6aa1fVlNfooQ/RCIdLt6hjky4LfdUqk112H&#10;KjHTcuotFRuL3WZbLRfQ9BHCoMWpDfiHLixoR0XPUCtIwG6i/gPKahE9+i5NhLeV7zotVOFAbKb1&#10;b2zeDBBU4ULiYDjLhP8PVrzabSLTkmbHmQNLI7r98PX7+0933z6Svf3ymU2zSGPAhnKv3SaeThg2&#10;MTPed9Hmf+LC9kXYw1lYtU9M0OX8cjp/dkH6i/tY9fAwREwvlLcsOy032mXO0MDuJSYqRqn3Kfna&#10;ODa2fDa/qDMe0M50BhK5NhALdH15jN5oudbG5CcY++21iWwHtAXrdU2/zImAf0nLVVaAwzGvhI77&#10;MSiQz51k6RBIH0eLzHMPVknOjKK9zx4BQpNAm7/JpNLGUQdZ1qOQ2dt6eaBp3ISo+4GkKMqXHJp+&#10;6fe0qXm9fj4XpIfvafk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EJN4qtYAAAAJAQAADwAAAAAA&#10;AAABACAAAAAiAAAAZHJzL2Rvd25yZXYueG1sUEsBAhQAFAAAAAgAh07iQGcw0IfcAQAAlwMAAA4A&#10;AAAAAAAAAQAgAAAAJQEAAGRycy9lMm9Eb2MueG1sUEsFBgAAAAAGAAYAWQEAAHMFAAAAAA==&#10;">
                <v:fill on="f" focussize="0,0"/>
                <v:stroke weight="2pt" color="#FF0000" joinstyle="round"/>
                <v:imagedata o:title=""/>
                <o:lock v:ext="edit" aspectratio="f"/>
              </v:line>
            </w:pict>
          </mc:Fallback>
        </mc:AlternateContent>
      </w:r>
    </w:p>
    <w:p>
      <w:pPr>
        <w:snapToGrid w:val="0"/>
        <w:spacing w:line="700" w:lineRule="exact"/>
        <w:jc w:val="center"/>
        <w:rPr>
          <w:rFonts w:ascii="方正小标宋简体" w:hAnsi="Arial" w:eastAsia="方正小标宋简体" w:cs="Arial"/>
          <w:sz w:val="44"/>
          <w:szCs w:val="44"/>
        </w:rPr>
      </w:pPr>
      <w:r>
        <w:rPr>
          <w:rFonts w:hint="eastAsia" w:ascii="方正小标宋_GBK" w:eastAsia="方正小标宋_GBK"/>
          <w:sz w:val="44"/>
          <w:szCs w:val="44"/>
        </w:rPr>
        <w:t>关于印发《</w:t>
      </w:r>
      <w:r>
        <w:rPr>
          <w:rFonts w:hint="eastAsia" w:ascii="方正小标宋简体" w:hAnsi="Arial" w:eastAsia="方正小标宋简体" w:cs="Arial"/>
          <w:sz w:val="44"/>
          <w:szCs w:val="44"/>
        </w:rPr>
        <w:t>安徽省广播电视</w:t>
      </w:r>
    </w:p>
    <w:p>
      <w:pPr>
        <w:snapToGrid w:val="0"/>
        <w:spacing w:line="700" w:lineRule="exact"/>
        <w:jc w:val="center"/>
        <w:rPr>
          <w:rFonts w:ascii="方正小标宋_GBK" w:eastAsia="方正小标宋_GBK"/>
        </w:rPr>
      </w:pPr>
      <w:r>
        <w:rPr>
          <w:rFonts w:hint="eastAsia" w:ascii="方正小标宋简体" w:hAnsi="Arial" w:eastAsia="方正小标宋简体" w:cs="Arial"/>
          <w:sz w:val="44"/>
          <w:szCs w:val="44"/>
        </w:rPr>
        <w:t>安全播出管理办法</w:t>
      </w:r>
      <w:r>
        <w:rPr>
          <w:rFonts w:hint="eastAsia" w:ascii="方正小标宋_GBK" w:eastAsia="方正小标宋_GBK"/>
          <w:sz w:val="44"/>
          <w:szCs w:val="44"/>
        </w:rPr>
        <w:t>》的通知</w:t>
      </w:r>
    </w:p>
    <w:p>
      <w:pPr>
        <w:tabs>
          <w:tab w:val="left" w:pos="5767"/>
        </w:tabs>
        <w:spacing w:line="500" w:lineRule="exact"/>
        <w:jc w:val="center"/>
        <w:rPr>
          <w:szCs w:val="32"/>
        </w:rPr>
      </w:pPr>
    </w:p>
    <w:p>
      <w:pPr>
        <w:spacing w:line="579" w:lineRule="exact"/>
        <w:rPr>
          <w:rFonts w:hint="eastAsia" w:ascii="仿宋_GB2312" w:eastAsia="仿宋_GB2312"/>
          <w:sz w:val="32"/>
          <w:szCs w:val="32"/>
          <w:lang w:eastAsia="zh-CN"/>
        </w:rPr>
      </w:pPr>
      <w:r>
        <w:rPr>
          <w:rFonts w:hint="eastAsia" w:ascii="仿宋_GB2312" w:hAnsi="Calibri" w:eastAsia="仿宋_GB2312"/>
          <w:sz w:val="32"/>
          <w:szCs w:val="30"/>
        </w:rPr>
        <w:t>各市、县（区）广播电视新闻出版局，安徽广播电视台、安徽广电传媒产业集团、安徽新媒体集团、</w:t>
      </w:r>
      <w:r>
        <w:rPr>
          <w:rFonts w:hint="eastAsia" w:ascii="仿宋_GB2312" w:hAnsi="仿宋" w:eastAsia="仿宋_GB2312"/>
          <w:sz w:val="32"/>
          <w:szCs w:val="32"/>
        </w:rPr>
        <w:t>中国电信股份有限公司安徽分公司、中国移动通信集团安徽有限公司、中国联合网络通信有限公司安徽省分公司</w:t>
      </w:r>
      <w:r>
        <w:rPr>
          <w:rFonts w:hint="eastAsia" w:ascii="仿宋_GB2312" w:hAnsi="Calibri" w:eastAsia="仿宋_GB2312"/>
          <w:sz w:val="32"/>
          <w:szCs w:val="30"/>
        </w:rPr>
        <w:t>，局属有关单位</w:t>
      </w:r>
      <w:r>
        <w:rPr>
          <w:rFonts w:hint="eastAsia" w:ascii="仿宋_GB2312" w:eastAsia="仿宋_GB2312"/>
          <w:sz w:val="32"/>
          <w:szCs w:val="32"/>
        </w:rPr>
        <w:t>：</w:t>
      </w:r>
    </w:p>
    <w:p>
      <w:pPr>
        <w:snapToGrid w:val="0"/>
        <w:spacing w:line="700" w:lineRule="exact"/>
        <w:jc w:val="left"/>
        <w:rPr>
          <w:rFonts w:ascii="仿宋_GB2312" w:hAnsi="Calibri" w:eastAsia="仿宋_GB2312"/>
          <w:sz w:val="32"/>
          <w:szCs w:val="30"/>
        </w:rPr>
      </w:pPr>
      <w:r>
        <w:rPr>
          <w:rFonts w:hint="eastAsia" w:ascii="仿宋_GB2312" w:eastAsia="仿宋_GB2312"/>
          <w:sz w:val="32"/>
          <w:szCs w:val="32"/>
        </w:rPr>
        <w:t xml:space="preserve">    《</w:t>
      </w:r>
      <w:r>
        <w:rPr>
          <w:rFonts w:hint="eastAsia" w:ascii="仿宋_GB2312" w:hAnsi="Calibri" w:eastAsia="仿宋_GB2312"/>
          <w:sz w:val="32"/>
          <w:szCs w:val="30"/>
        </w:rPr>
        <w:t>安徽省广播电视安全播出管理办法》经局长办公会议审议通过，现印发给你们，请遵照执行。</w:t>
      </w:r>
    </w:p>
    <w:p>
      <w:pPr>
        <w:spacing w:line="579" w:lineRule="exact"/>
        <w:ind w:firstLine="640" w:firstLineChars="200"/>
        <w:rPr>
          <w:rFonts w:ascii="仿宋_GB2312" w:eastAsia="仿宋_GB2312"/>
          <w:sz w:val="32"/>
          <w:szCs w:val="32"/>
        </w:rPr>
      </w:pPr>
      <w:r>
        <w:rPr>
          <w:rFonts w:hint="eastAsia" w:eastAsia="仿宋_GB2312"/>
          <w:sz w:val="32"/>
          <w:szCs w:val="32"/>
        </w:rPr>
        <w:drawing>
          <wp:anchor distT="0" distB="0" distL="114300" distR="114300" simplePos="0" relativeHeight="251663360" behindDoc="1" locked="0" layoutInCell="1" allowOverlap="1">
            <wp:simplePos x="0" y="0"/>
            <wp:positionH relativeFrom="column">
              <wp:posOffset>3082925</wp:posOffset>
            </wp:positionH>
            <wp:positionV relativeFrom="paragraph">
              <wp:posOffset>219075</wp:posOffset>
            </wp:positionV>
            <wp:extent cx="1645285" cy="1626870"/>
            <wp:effectExtent l="296545" t="302260" r="306070" b="318770"/>
            <wp:wrapNone/>
            <wp:docPr id="5" name="图片 6" descr="省广播电视局章(最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省广播电视局章(最新)"/>
                    <pic:cNvPicPr>
                      <a:picLocks noChangeAspect="1"/>
                    </pic:cNvPicPr>
                  </pic:nvPicPr>
                  <pic:blipFill>
                    <a:blip r:embed="rId6"/>
                    <a:stretch>
                      <a:fillRect/>
                    </a:stretch>
                  </pic:blipFill>
                  <pic:spPr>
                    <a:xfrm rot="1800000">
                      <a:off x="0" y="0"/>
                      <a:ext cx="1645285" cy="1626870"/>
                    </a:xfrm>
                    <a:prstGeom prst="rect">
                      <a:avLst/>
                    </a:prstGeom>
                    <a:noFill/>
                    <a:ln>
                      <a:noFill/>
                    </a:ln>
                  </pic:spPr>
                </pic:pic>
              </a:graphicData>
            </a:graphic>
          </wp:anchor>
        </w:drawing>
      </w:r>
      <w:r>
        <w:rPr>
          <w:rFonts w:hint="eastAsia" w:eastAsia="仿宋_GB2312"/>
          <w:sz w:val="32"/>
          <w:szCs w:val="32"/>
        </w:rPr>
        <w:drawing>
          <wp:anchor distT="0" distB="0" distL="114300" distR="114300" simplePos="0" relativeHeight="251661312" behindDoc="1" locked="0" layoutInCell="1" allowOverlap="1">
            <wp:simplePos x="0" y="0"/>
            <wp:positionH relativeFrom="column">
              <wp:posOffset>4359910</wp:posOffset>
            </wp:positionH>
            <wp:positionV relativeFrom="paragraph">
              <wp:posOffset>5871210</wp:posOffset>
            </wp:positionV>
            <wp:extent cx="1645285" cy="1626870"/>
            <wp:effectExtent l="296545" t="302260" r="306070" b="318770"/>
            <wp:wrapNone/>
            <wp:docPr id="3" name="图片 4" descr="省广播电视局章(最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省广播电视局章(最新)"/>
                    <pic:cNvPicPr>
                      <a:picLocks noChangeAspect="1"/>
                    </pic:cNvPicPr>
                  </pic:nvPicPr>
                  <pic:blipFill>
                    <a:blip r:embed="rId6"/>
                    <a:stretch>
                      <a:fillRect/>
                    </a:stretch>
                  </pic:blipFill>
                  <pic:spPr>
                    <a:xfrm rot="1800000">
                      <a:off x="0" y="0"/>
                      <a:ext cx="1645285" cy="1626870"/>
                    </a:xfrm>
                    <a:prstGeom prst="rect">
                      <a:avLst/>
                    </a:prstGeom>
                    <a:noFill/>
                    <a:ln>
                      <a:noFill/>
                    </a:ln>
                  </pic:spPr>
                </pic:pic>
              </a:graphicData>
            </a:graphic>
          </wp:anchor>
        </w:drawing>
      </w:r>
    </w:p>
    <w:p>
      <w:pPr>
        <w:spacing w:line="579" w:lineRule="exact"/>
        <w:ind w:firstLine="640"/>
        <w:rPr>
          <w:rFonts w:ascii="仿宋_GB2312" w:eastAsia="仿宋_GB2312"/>
          <w:sz w:val="32"/>
          <w:szCs w:val="32"/>
        </w:rPr>
      </w:pPr>
    </w:p>
    <w:p>
      <w:pPr>
        <w:spacing w:line="579" w:lineRule="exact"/>
        <w:ind w:firstLine="4960" w:firstLineChars="1550"/>
        <w:rPr>
          <w:rFonts w:ascii="仿宋_GB2312" w:eastAsia="仿宋_GB2312"/>
          <w:sz w:val="32"/>
          <w:szCs w:val="32"/>
        </w:rPr>
      </w:pPr>
      <w:r>
        <w:rPr>
          <w:rFonts w:hint="eastAsia" w:ascii="仿宋_GB2312" w:eastAsia="仿宋_GB2312"/>
          <w:sz w:val="32"/>
          <w:szCs w:val="32"/>
        </w:rPr>
        <w:t>安徽省广播</w:t>
      </w:r>
      <w:r>
        <w:rPr>
          <w:rFonts w:hint="eastAsia" w:eastAsia="仿宋_GB2312"/>
          <w:sz w:val="32"/>
          <w:szCs w:val="32"/>
        </w:rPr>
        <w:drawing>
          <wp:anchor distT="0" distB="0" distL="114300" distR="114300" simplePos="0" relativeHeight="251660288" behindDoc="1" locked="0" layoutInCell="1" allowOverlap="1">
            <wp:simplePos x="0" y="0"/>
            <wp:positionH relativeFrom="column">
              <wp:posOffset>4359910</wp:posOffset>
            </wp:positionH>
            <wp:positionV relativeFrom="paragraph">
              <wp:posOffset>5871210</wp:posOffset>
            </wp:positionV>
            <wp:extent cx="1645285" cy="1626870"/>
            <wp:effectExtent l="296545" t="302260" r="306070" b="318770"/>
            <wp:wrapNone/>
            <wp:docPr id="2" name="图片 3" descr="省广播电视局章(最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省广播电视局章(最新)"/>
                    <pic:cNvPicPr>
                      <a:picLocks noChangeAspect="1"/>
                    </pic:cNvPicPr>
                  </pic:nvPicPr>
                  <pic:blipFill>
                    <a:blip r:embed="rId6"/>
                    <a:stretch>
                      <a:fillRect/>
                    </a:stretch>
                  </pic:blipFill>
                  <pic:spPr>
                    <a:xfrm rot="1800000">
                      <a:off x="0" y="0"/>
                      <a:ext cx="1645285" cy="1626870"/>
                    </a:xfrm>
                    <a:prstGeom prst="rect">
                      <a:avLst/>
                    </a:prstGeom>
                    <a:noFill/>
                    <a:ln>
                      <a:noFill/>
                    </a:ln>
                  </pic:spPr>
                </pic:pic>
              </a:graphicData>
            </a:graphic>
          </wp:anchor>
        </w:drawing>
      </w:r>
      <w:r>
        <w:rPr>
          <w:rFonts w:hint="eastAsia" w:ascii="仿宋_GB2312" w:eastAsia="仿宋_GB2312"/>
          <w:sz w:val="32"/>
          <w:szCs w:val="32"/>
        </w:rPr>
        <w:t>电</w:t>
      </w:r>
      <w:r>
        <w:rPr>
          <w:rFonts w:hint="eastAsia" w:eastAsia="仿宋_GB2312"/>
          <w:sz w:val="32"/>
          <w:szCs w:val="32"/>
        </w:rPr>
        <w:drawing>
          <wp:anchor distT="0" distB="0" distL="114300" distR="114300" simplePos="0" relativeHeight="251662336" behindDoc="1" locked="0" layoutInCell="1" allowOverlap="1">
            <wp:simplePos x="0" y="0"/>
            <wp:positionH relativeFrom="column">
              <wp:posOffset>4512310</wp:posOffset>
            </wp:positionH>
            <wp:positionV relativeFrom="paragraph">
              <wp:posOffset>6023610</wp:posOffset>
            </wp:positionV>
            <wp:extent cx="1645285" cy="1626870"/>
            <wp:effectExtent l="296545" t="302260" r="306070" b="318770"/>
            <wp:wrapNone/>
            <wp:docPr id="4" name="图片 5" descr="省广播电视局章(最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省广播电视局章(最新)"/>
                    <pic:cNvPicPr>
                      <a:picLocks noChangeAspect="1"/>
                    </pic:cNvPicPr>
                  </pic:nvPicPr>
                  <pic:blipFill>
                    <a:blip r:embed="rId6"/>
                    <a:stretch>
                      <a:fillRect/>
                    </a:stretch>
                  </pic:blipFill>
                  <pic:spPr>
                    <a:xfrm rot="1800000">
                      <a:off x="0" y="0"/>
                      <a:ext cx="1645285" cy="1626870"/>
                    </a:xfrm>
                    <a:prstGeom prst="rect">
                      <a:avLst/>
                    </a:prstGeom>
                    <a:noFill/>
                    <a:ln>
                      <a:noFill/>
                    </a:ln>
                  </pic:spPr>
                </pic:pic>
              </a:graphicData>
            </a:graphic>
          </wp:anchor>
        </w:drawing>
      </w:r>
      <w:r>
        <w:rPr>
          <w:rFonts w:hint="eastAsia" w:ascii="仿宋_GB2312" w:eastAsia="仿宋_GB2312"/>
          <w:sz w:val="32"/>
          <w:szCs w:val="32"/>
        </w:rPr>
        <w:t>视局</w:t>
      </w:r>
    </w:p>
    <w:p>
      <w:pPr>
        <w:spacing w:line="579" w:lineRule="exact"/>
        <w:ind w:firstLine="4960" w:firstLineChars="1550"/>
        <w:rPr>
          <w:rFonts w:hint="eastAsia" w:ascii="仿宋_GB2312" w:eastAsia="仿宋_GB2312"/>
          <w:sz w:val="32"/>
          <w:szCs w:val="32"/>
        </w:rPr>
      </w:pPr>
      <w:r>
        <w:rPr>
          <w:rFonts w:hint="eastAsia" w:ascii="仿宋_GB2312" w:eastAsia="仿宋_GB2312"/>
          <w:sz w:val="32"/>
          <w:szCs w:val="32"/>
        </w:rPr>
        <w:t>2020年6月17日</w:t>
      </w:r>
    </w:p>
    <w:p>
      <w:pPr>
        <w:rPr>
          <w:rFonts w:hint="eastAsia" w:ascii="仿宋_GB2312" w:eastAsia="仿宋_GB2312"/>
          <w:sz w:val="32"/>
          <w:szCs w:val="32"/>
        </w:rPr>
      </w:pPr>
      <w:r>
        <w:rPr>
          <w:rFonts w:hint="eastAsia" w:ascii="仿宋_GB2312" w:eastAsia="仿宋_GB2312"/>
          <w:sz w:val="32"/>
          <w:szCs w:val="32"/>
        </w:rPr>
        <w:br w:type="page"/>
      </w:r>
    </w:p>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w:t>
      </w:r>
    </w:p>
    <w:p>
      <w:pPr>
        <w:contextualSpacing/>
        <w:jc w:val="center"/>
        <w:rPr>
          <w:rFonts w:ascii="方正小标宋简体" w:hAnsi="Arial" w:eastAsia="方正小标宋简体" w:cs="Arial"/>
          <w:sz w:val="44"/>
          <w:szCs w:val="44"/>
        </w:rPr>
      </w:pPr>
      <w:r>
        <w:rPr>
          <w:rFonts w:hint="eastAsia" w:ascii="方正小标宋简体" w:hAnsi="Arial" w:eastAsia="方正小标宋简体" w:cs="Arial"/>
          <w:sz w:val="44"/>
          <w:szCs w:val="44"/>
        </w:rPr>
        <w:t>安徽省广播电视安全播出管理办法</w:t>
      </w:r>
    </w:p>
    <w:p>
      <w:pPr>
        <w:keepNext w:val="0"/>
        <w:keepLines w:val="0"/>
        <w:pageBreakBefore w:val="0"/>
        <w:kinsoku/>
        <w:wordWrap/>
        <w:overflowPunct/>
        <w:topLinePunct w:val="0"/>
        <w:autoSpaceDE/>
        <w:autoSpaceDN/>
        <w:bidi w:val="0"/>
        <w:adjustRightInd/>
        <w:snapToGrid/>
        <w:spacing w:line="560" w:lineRule="exact"/>
        <w:ind w:left="16" w:hanging="16" w:hangingChars="5"/>
        <w:contextualSpacing/>
        <w:jc w:val="center"/>
        <w:textAlignment w:val="auto"/>
        <w:outlineLvl w:val="0"/>
        <w:rPr>
          <w:rFonts w:hint="eastAsia" w:ascii="仿宋_GB2312" w:hAnsi="Arial" w:eastAsia="仿宋_GB2312" w:cs="Arial"/>
          <w:b/>
          <w:sz w:val="32"/>
          <w:szCs w:val="32"/>
        </w:rPr>
      </w:pPr>
    </w:p>
    <w:p>
      <w:pPr>
        <w:keepNext w:val="0"/>
        <w:keepLines w:val="0"/>
        <w:pageBreakBefore w:val="0"/>
        <w:kinsoku/>
        <w:wordWrap/>
        <w:overflowPunct/>
        <w:topLinePunct w:val="0"/>
        <w:autoSpaceDE/>
        <w:autoSpaceDN/>
        <w:bidi w:val="0"/>
        <w:adjustRightInd/>
        <w:snapToGrid/>
        <w:spacing w:line="560" w:lineRule="exact"/>
        <w:ind w:left="16" w:hanging="16" w:hangingChars="5"/>
        <w:contextualSpacing/>
        <w:jc w:val="center"/>
        <w:textAlignment w:val="auto"/>
        <w:outlineLvl w:val="0"/>
        <w:rPr>
          <w:rFonts w:hint="eastAsia" w:ascii="黑体" w:hAnsi="黑体" w:eastAsia="黑体" w:cs="黑体"/>
          <w:b w:val="0"/>
          <w:bCs/>
          <w:sz w:val="32"/>
          <w:szCs w:val="32"/>
        </w:rPr>
      </w:pPr>
      <w:r>
        <w:rPr>
          <w:rFonts w:hint="eastAsia" w:ascii="黑体" w:hAnsi="黑体" w:eastAsia="黑体" w:cs="黑体"/>
          <w:b w:val="0"/>
          <w:bCs/>
          <w:sz w:val="32"/>
          <w:szCs w:val="32"/>
        </w:rPr>
        <w:t>第一章</w:t>
      </w:r>
      <w:r>
        <w:rPr>
          <w:rFonts w:hint="eastAsia" w:ascii="黑体" w:hAnsi="黑体" w:eastAsia="黑体" w:cs="黑体"/>
          <w:b w:val="0"/>
          <w:bCs/>
          <w:sz w:val="32"/>
          <w:szCs w:val="32"/>
          <w:lang w:eastAsia="zh-CN"/>
        </w:rPr>
        <w:t>　</w:t>
      </w:r>
      <w:r>
        <w:rPr>
          <w:rFonts w:hint="eastAsia" w:ascii="黑体" w:hAnsi="黑体" w:eastAsia="黑体" w:cs="黑体"/>
          <w:b w:val="0"/>
          <w:bCs/>
          <w:sz w:val="32"/>
          <w:szCs w:val="32"/>
        </w:rPr>
        <w:t>总则</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黑体" w:hAnsi="黑体" w:eastAsia="黑体" w:cs="黑体"/>
          <w:b w:val="0"/>
          <w:bCs/>
          <w:sz w:val="32"/>
          <w:szCs w:val="32"/>
        </w:rPr>
        <w:t>第一条</w:t>
      </w:r>
      <w:r>
        <w:rPr>
          <w:rFonts w:hint="eastAsia" w:ascii="黑体" w:hAnsi="黑体" w:eastAsia="黑体" w:cs="黑体"/>
          <w:b w:val="0"/>
          <w:bCs/>
          <w:sz w:val="32"/>
          <w:szCs w:val="32"/>
          <w:lang w:eastAsia="zh-CN"/>
        </w:rPr>
        <w:t>　</w:t>
      </w:r>
      <w:r>
        <w:rPr>
          <w:rFonts w:hint="eastAsia" w:ascii="仿宋_GB2312" w:hAnsi="Arial" w:eastAsia="仿宋_GB2312" w:cs="Arial"/>
          <w:sz w:val="32"/>
          <w:szCs w:val="32"/>
        </w:rPr>
        <w:t>为加强广播电视安全播出管理，保障广播电视安全优质播出，维护广大用户收听收看广播电视的权益，实现广播电视 “不间断、高质量，既经济、又安全”的总目标，依据国家广播电视总局《广播电视安全播出管理规定》《安全播出事件事故管理实施细则（暂行）》和《广播电视设施安全保护条例》，结合我省实际，制定本办法。</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黑体" w:hAnsi="黑体" w:eastAsia="黑体" w:cs="黑体"/>
          <w:b w:val="0"/>
          <w:bCs/>
          <w:sz w:val="32"/>
          <w:szCs w:val="32"/>
        </w:rPr>
        <w:t>第二条</w:t>
      </w:r>
      <w:r>
        <w:rPr>
          <w:rFonts w:hint="eastAsia" w:ascii="黑体" w:hAnsi="黑体" w:eastAsia="黑体" w:cs="黑体"/>
          <w:b w:val="0"/>
          <w:bCs/>
          <w:sz w:val="32"/>
          <w:szCs w:val="32"/>
          <w:lang w:eastAsia="zh-CN"/>
        </w:rPr>
        <w:t>　</w:t>
      </w:r>
      <w:r>
        <w:rPr>
          <w:rFonts w:hint="eastAsia" w:ascii="仿宋_GB2312" w:hAnsi="Arial" w:eastAsia="仿宋_GB2312" w:cs="Arial"/>
          <w:sz w:val="32"/>
          <w:szCs w:val="32"/>
        </w:rPr>
        <w:t>本办法适用广播电视行政部门，在安徽省依法依规从事广播电视播出、传输、覆盖等业务的安全播出责任单位，为保障广播电视安全播出开展的技术维护、运行管理、应急处置及其他相关活动。</w:t>
      </w:r>
    </w:p>
    <w:p>
      <w:pPr>
        <w:keepNext w:val="0"/>
        <w:keepLines w:val="0"/>
        <w:pageBreakBefore w:val="0"/>
        <w:kinsoku/>
        <w:wordWrap/>
        <w:overflowPunct/>
        <w:topLinePunct w:val="0"/>
        <w:autoSpaceDE/>
        <w:autoSpaceDN/>
        <w:bidi w:val="0"/>
        <w:adjustRightInd/>
        <w:snapToGrid/>
        <w:spacing w:line="560" w:lineRule="exact"/>
        <w:ind w:left="16" w:hanging="16" w:hangingChars="5"/>
        <w:contextualSpacing/>
        <w:jc w:val="center"/>
        <w:textAlignment w:val="auto"/>
        <w:outlineLvl w:val="0"/>
        <w:rPr>
          <w:rFonts w:hint="eastAsia" w:ascii="黑体" w:hAnsi="黑体" w:eastAsia="黑体" w:cs="黑体"/>
          <w:b w:val="0"/>
          <w:bCs/>
          <w:sz w:val="32"/>
          <w:szCs w:val="32"/>
        </w:rPr>
      </w:pPr>
      <w:r>
        <w:rPr>
          <w:rFonts w:hint="eastAsia" w:ascii="黑体" w:hAnsi="黑体" w:eastAsia="黑体" w:cs="黑体"/>
          <w:b w:val="0"/>
          <w:bCs/>
          <w:sz w:val="32"/>
          <w:szCs w:val="32"/>
        </w:rPr>
        <w:t>第二章</w:t>
      </w:r>
      <w:r>
        <w:rPr>
          <w:rFonts w:hint="eastAsia" w:ascii="黑体" w:hAnsi="黑体" w:eastAsia="黑体" w:cs="黑体"/>
          <w:b w:val="0"/>
          <w:bCs/>
          <w:sz w:val="32"/>
          <w:szCs w:val="32"/>
          <w:lang w:eastAsia="zh-CN"/>
        </w:rPr>
        <w:t>　</w:t>
      </w:r>
      <w:r>
        <w:rPr>
          <w:rFonts w:hint="eastAsia" w:ascii="黑体" w:hAnsi="黑体" w:eastAsia="黑体" w:cs="黑体"/>
          <w:b w:val="0"/>
          <w:bCs/>
          <w:sz w:val="32"/>
          <w:szCs w:val="32"/>
        </w:rPr>
        <w:t>单位职责</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黑体" w:hAnsi="黑体" w:eastAsia="黑体" w:cs="黑体"/>
          <w:b w:val="0"/>
          <w:bCs/>
          <w:sz w:val="32"/>
          <w:szCs w:val="32"/>
        </w:rPr>
        <w:t>第三条</w:t>
      </w:r>
      <w:r>
        <w:rPr>
          <w:rFonts w:hint="eastAsia" w:ascii="仿宋_GB2312" w:hAnsi="Arial" w:eastAsia="仿宋_GB2312" w:cs="Arial"/>
          <w:sz w:val="32"/>
          <w:szCs w:val="32"/>
          <w:lang w:eastAsia="zh-CN"/>
        </w:rPr>
        <w:t>　</w:t>
      </w:r>
      <w:r>
        <w:rPr>
          <w:rFonts w:hint="eastAsia" w:ascii="仿宋_GB2312" w:hAnsi="Arial" w:eastAsia="仿宋_GB2312" w:cs="Arial"/>
          <w:sz w:val="32"/>
          <w:szCs w:val="32"/>
        </w:rPr>
        <w:t>广播电视安全播出实行分类分级保障管理。</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黑体" w:hAnsi="黑体" w:eastAsia="黑体" w:cs="黑体"/>
          <w:b w:val="0"/>
          <w:bCs/>
          <w:sz w:val="32"/>
          <w:szCs w:val="32"/>
        </w:rPr>
        <w:t>第四条</w:t>
      </w:r>
      <w:r>
        <w:rPr>
          <w:rFonts w:hint="eastAsia" w:ascii="仿宋_GB2312" w:hAnsi="Arial" w:eastAsia="仿宋_GB2312" w:cs="Arial"/>
          <w:sz w:val="32"/>
          <w:szCs w:val="32"/>
          <w:lang w:eastAsia="zh-CN"/>
        </w:rPr>
        <w:t>　</w:t>
      </w:r>
      <w:r>
        <w:rPr>
          <w:rFonts w:hint="eastAsia" w:ascii="仿宋_GB2312" w:hAnsi="Arial" w:eastAsia="仿宋_GB2312" w:cs="Arial"/>
          <w:sz w:val="32"/>
          <w:szCs w:val="32"/>
        </w:rPr>
        <w:t>安徽省广播电视局（以下简称省广电局）负责全省广播电视安全播出监督管理工作，市、县（区）人民政府广播电视行政部门负责本行政区域内的广播电视安全播出监督管理工作，履行下列广播电视安全播出监督管理职责：</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仿宋_GB2312" w:hAnsi="Arial" w:eastAsia="仿宋_GB2312" w:cs="Arial"/>
          <w:sz w:val="32"/>
          <w:szCs w:val="32"/>
        </w:rPr>
        <w:t>（一）统筹规划安全播出和设施保护工作，落实安全播出责任制。制定并实施运行维护规程及安全播出相关的技术标准、管理规范，推进安全播出设施自动化、智能化管理，提高广播电视安全播出技防、物防、人防能力。</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仿宋_GB2312" w:hAnsi="Arial" w:eastAsia="仿宋_GB2312" w:cs="Arial"/>
          <w:sz w:val="32"/>
          <w:szCs w:val="32"/>
        </w:rPr>
        <w:t>（二）依据《广播电视安全播出管理规定》和广播电视安全播出各专业实施细则，对行政区域内广播电视安全播出责任单位定期或适时进行安全播出检查，消除安全播出和设施保护的事故隐患，并对上级安全大检查提出的整改问题跟踪督查销号清零。</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仿宋_GB2312" w:hAnsi="Arial" w:eastAsia="仿宋_GB2312" w:cs="Arial"/>
          <w:sz w:val="32"/>
          <w:szCs w:val="32"/>
        </w:rPr>
        <w:t>（三）负责突发事件应急管理工作，组织对安全播出事故的调查并依法</w:t>
      </w:r>
      <w:r>
        <w:rPr>
          <w:rFonts w:hint="eastAsia" w:ascii="仿宋_GB2312" w:hAnsi="Arial" w:eastAsia="仿宋_GB2312" w:cs="Arial"/>
          <w:sz w:val="32"/>
          <w:szCs w:val="32"/>
          <w:lang w:eastAsia="zh-CN"/>
        </w:rPr>
        <w:t>依规</w:t>
      </w:r>
      <w:r>
        <w:rPr>
          <w:rFonts w:hint="eastAsia" w:ascii="仿宋_GB2312" w:hAnsi="Arial" w:eastAsia="仿宋_GB2312" w:cs="Arial"/>
          <w:sz w:val="32"/>
          <w:szCs w:val="32"/>
        </w:rPr>
        <w:t>处理。</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仿宋_GB2312" w:hAnsi="Arial" w:eastAsia="仿宋_GB2312" w:cs="Arial"/>
          <w:sz w:val="32"/>
          <w:szCs w:val="32"/>
        </w:rPr>
        <w:t>（四）建立健全监测机制，掌握本行政区域内节目播出、传输、覆盖情况，发现和快速通报播出异态。</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仿宋_GB2312" w:hAnsi="Arial" w:eastAsia="仿宋_GB2312" w:cs="Arial"/>
          <w:sz w:val="32"/>
          <w:szCs w:val="32"/>
        </w:rPr>
        <w:t>（五）开展广播电视设施保护法制宣传，定期上报工作信息。</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仿宋_GB2312" w:hAnsi="Arial" w:eastAsia="仿宋_GB2312" w:cs="Arial"/>
          <w:sz w:val="32"/>
          <w:szCs w:val="32"/>
        </w:rPr>
        <w:t>（六）建立健全指挥调度机制，指导安全播出责任单位协调配合。</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仿宋_GB2312" w:hAnsi="Arial" w:eastAsia="仿宋_GB2312" w:cs="Arial"/>
          <w:sz w:val="32"/>
          <w:szCs w:val="32"/>
        </w:rPr>
        <w:t>（七）组织广播电视安全播出和设施保护培训、考核工作，提高基层人员业务能力和管理水平。</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黑体" w:hAnsi="黑体" w:eastAsia="黑体" w:cs="黑体"/>
          <w:b w:val="0"/>
          <w:bCs/>
          <w:sz w:val="32"/>
          <w:szCs w:val="32"/>
        </w:rPr>
        <w:t>第五条</w:t>
      </w:r>
      <w:r>
        <w:rPr>
          <w:rFonts w:hint="eastAsia" w:ascii="仿宋_GB2312" w:hAnsi="Arial" w:eastAsia="仿宋_GB2312" w:cs="Arial"/>
          <w:sz w:val="32"/>
          <w:szCs w:val="32"/>
          <w:lang w:eastAsia="zh-CN"/>
        </w:rPr>
        <w:t>　</w:t>
      </w:r>
      <w:r>
        <w:rPr>
          <w:rFonts w:hint="eastAsia" w:ascii="仿宋_GB2312" w:hAnsi="Arial" w:eastAsia="仿宋_GB2312" w:cs="Arial"/>
          <w:sz w:val="32"/>
          <w:szCs w:val="32"/>
        </w:rPr>
        <w:t>各级广播电视监测部门在本级广播电视行政部门的领导下，履行下列广播电视安全播出、设施保护和监测监管职责：</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仿宋_GB2312" w:hAnsi="Arial" w:eastAsia="仿宋_GB2312" w:cs="Arial"/>
          <w:sz w:val="32"/>
          <w:szCs w:val="32"/>
        </w:rPr>
        <w:t>（一）省广播电视监测台（以下简称省监测台）负责</w:t>
      </w:r>
      <w:r>
        <w:rPr>
          <w:rFonts w:hint="eastAsia" w:ascii="仿宋_GB2312" w:hAnsi="Arial" w:eastAsia="仿宋_GB2312" w:cs="Arial"/>
          <w:sz w:val="32"/>
          <w:szCs w:val="32"/>
          <w:lang w:eastAsia="zh-CN"/>
        </w:rPr>
        <w:t>对全省广播电视安全播出情况监测，对重大</w:t>
      </w:r>
      <w:r>
        <w:rPr>
          <w:rFonts w:hint="eastAsia" w:ascii="仿宋_GB2312" w:hAnsi="Arial" w:eastAsia="仿宋_GB2312" w:cs="Arial"/>
          <w:sz w:val="32"/>
          <w:szCs w:val="32"/>
        </w:rPr>
        <w:t>安全播出事故、事件的调查分析、汇总上报、督促整改，指导市、县监测机构调查分析一般事故、较大事件。</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仿宋_GB2312" w:hAnsi="Arial" w:eastAsia="仿宋_GB2312" w:cs="Arial"/>
          <w:sz w:val="32"/>
          <w:szCs w:val="32"/>
        </w:rPr>
        <w:t>（二）市、县组建监测分中心，负责本行政区域</w:t>
      </w:r>
      <w:r>
        <w:rPr>
          <w:rFonts w:hint="eastAsia" w:ascii="仿宋_GB2312" w:hAnsi="Arial" w:eastAsia="仿宋_GB2312" w:cs="Arial"/>
          <w:sz w:val="32"/>
          <w:szCs w:val="32"/>
          <w:lang w:eastAsia="zh-CN"/>
        </w:rPr>
        <w:t>广播电视</w:t>
      </w:r>
      <w:r>
        <w:rPr>
          <w:rFonts w:hint="eastAsia" w:ascii="仿宋_GB2312" w:hAnsi="Arial" w:eastAsia="仿宋_GB2312" w:cs="Arial"/>
          <w:sz w:val="32"/>
          <w:szCs w:val="32"/>
        </w:rPr>
        <w:t>安全播出监测，对辖区内安全播出一般事故、较大事件调查分析，汇总上报，协助或接受委托对</w:t>
      </w:r>
      <w:r>
        <w:rPr>
          <w:rFonts w:hint="eastAsia" w:ascii="仿宋_GB2312" w:hAnsi="Arial" w:eastAsia="仿宋_GB2312" w:cs="Arial"/>
          <w:sz w:val="32"/>
          <w:szCs w:val="32"/>
          <w:lang w:eastAsia="zh-CN"/>
        </w:rPr>
        <w:t>行政区域</w:t>
      </w:r>
      <w:r>
        <w:rPr>
          <w:rFonts w:hint="eastAsia" w:ascii="仿宋_GB2312" w:hAnsi="Arial" w:eastAsia="仿宋_GB2312" w:cs="Arial"/>
          <w:sz w:val="32"/>
          <w:szCs w:val="32"/>
        </w:rPr>
        <w:t>内安全播出事故事件进行调查，并督促整改。</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黑体" w:hAnsi="黑体" w:eastAsia="黑体" w:cs="黑体"/>
          <w:b w:val="0"/>
          <w:bCs/>
          <w:sz w:val="32"/>
          <w:szCs w:val="32"/>
        </w:rPr>
        <w:t>第六条</w:t>
      </w:r>
      <w:r>
        <w:rPr>
          <w:rFonts w:hint="eastAsia" w:ascii="黑体" w:hAnsi="黑体" w:eastAsia="黑体" w:cs="黑体"/>
          <w:b w:val="0"/>
          <w:bCs/>
          <w:sz w:val="32"/>
          <w:szCs w:val="32"/>
          <w:lang w:eastAsia="zh-CN"/>
        </w:rPr>
        <w:t>　</w:t>
      </w:r>
      <w:r>
        <w:rPr>
          <w:rFonts w:hint="eastAsia" w:ascii="仿宋_GB2312" w:hAnsi="Arial" w:eastAsia="仿宋_GB2312" w:cs="Arial"/>
          <w:sz w:val="32"/>
          <w:szCs w:val="32"/>
        </w:rPr>
        <w:t>安全播出责任单位履行下列工作职责：</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仿宋_GB2312" w:hAnsi="Arial" w:eastAsia="仿宋_GB2312" w:cs="Arial"/>
          <w:sz w:val="32"/>
          <w:szCs w:val="32"/>
        </w:rPr>
        <w:t>（一）单位主要负责人对本单位的广播电视安全播出工作全面负责。</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仿宋_GB2312" w:hAnsi="Arial" w:eastAsia="仿宋_GB2312" w:cs="Arial"/>
          <w:sz w:val="32"/>
          <w:szCs w:val="32"/>
        </w:rPr>
        <w:t>（二）落实本单位安全播出工作责任制。</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仿宋_GB2312" w:hAnsi="Arial" w:eastAsia="仿宋_GB2312" w:cs="Arial"/>
          <w:sz w:val="32"/>
          <w:szCs w:val="32"/>
        </w:rPr>
        <w:t>（三）负责本单位广播电视设施、设备的鉴定、维护、更新和技术升级等工作。</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仿宋_GB2312" w:hAnsi="Arial" w:eastAsia="仿宋_GB2312" w:cs="Arial"/>
          <w:sz w:val="32"/>
          <w:szCs w:val="32"/>
        </w:rPr>
        <w:t>（四）负责对安全播出事件事故的处置、上报、记录、分析和整改等工作。</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仿宋_GB2312" w:hAnsi="Arial" w:eastAsia="仿宋_GB2312" w:cs="Arial"/>
          <w:sz w:val="32"/>
          <w:szCs w:val="32"/>
        </w:rPr>
        <w:t>（五）配合广播电视行政部门和广播电视监测部门开展事件事故调查。</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仿宋_GB2312" w:hAnsi="Arial" w:eastAsia="仿宋_GB2312" w:cs="Arial"/>
          <w:sz w:val="32"/>
          <w:szCs w:val="32"/>
        </w:rPr>
        <w:t>（六）建立健全技术维护、运行管理、应急处置、安全播出考核、奖惩等安全播出管理制度。</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仿宋_GB2312" w:hAnsi="Arial" w:eastAsia="仿宋_GB2312" w:cs="Arial"/>
          <w:sz w:val="32"/>
          <w:szCs w:val="32"/>
        </w:rPr>
        <w:t>（七）组织本单位</w:t>
      </w:r>
      <w:r>
        <w:rPr>
          <w:rFonts w:hint="eastAsia" w:ascii="仿宋_GB2312" w:hAnsi="Arial" w:eastAsia="仿宋_GB2312" w:cs="Arial"/>
          <w:sz w:val="32"/>
          <w:szCs w:val="32"/>
          <w:lang w:eastAsia="zh-CN"/>
        </w:rPr>
        <w:t>安全播出</w:t>
      </w:r>
      <w:r>
        <w:rPr>
          <w:rFonts w:hint="eastAsia" w:ascii="仿宋_GB2312" w:hAnsi="Arial" w:eastAsia="仿宋_GB2312" w:cs="Arial"/>
          <w:sz w:val="32"/>
          <w:szCs w:val="32"/>
        </w:rPr>
        <w:t>岗位人员培训，做到熟悉业务、熟练操作，具备独立处理应急问题能力，对不能胜任本职工作或因处理不当、不及时造成连续安全播出事故的人员</w:t>
      </w:r>
      <w:r>
        <w:rPr>
          <w:rFonts w:hint="eastAsia" w:ascii="仿宋_GB2312" w:hAnsi="Arial" w:eastAsia="仿宋_GB2312" w:cs="Arial"/>
          <w:sz w:val="32"/>
          <w:szCs w:val="32"/>
          <w:lang w:eastAsia="zh-CN"/>
        </w:rPr>
        <w:t>，</w:t>
      </w:r>
      <w:r>
        <w:rPr>
          <w:rFonts w:hint="eastAsia" w:ascii="仿宋_GB2312" w:hAnsi="Arial" w:eastAsia="仿宋_GB2312" w:cs="Arial"/>
          <w:sz w:val="32"/>
          <w:szCs w:val="32"/>
        </w:rPr>
        <w:t>视情形作出调整工作岗位等相应处理。</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hint="eastAsia" w:ascii="仿宋_GB2312" w:hAnsi="Arial" w:eastAsia="仿宋_GB2312" w:cs="Arial"/>
          <w:sz w:val="32"/>
          <w:szCs w:val="32"/>
        </w:rPr>
      </w:pPr>
      <w:r>
        <w:rPr>
          <w:rFonts w:hint="eastAsia" w:ascii="黑体" w:hAnsi="黑体" w:eastAsia="黑体" w:cs="黑体"/>
          <w:b w:val="0"/>
          <w:bCs/>
          <w:sz w:val="32"/>
          <w:szCs w:val="32"/>
        </w:rPr>
        <w:t>第七条</w:t>
      </w:r>
      <w:r>
        <w:rPr>
          <w:rFonts w:hint="eastAsia" w:ascii="黑体" w:hAnsi="黑体" w:eastAsia="黑体" w:cs="黑体"/>
          <w:b w:val="0"/>
          <w:bCs/>
          <w:sz w:val="32"/>
          <w:szCs w:val="32"/>
          <w:lang w:eastAsia="zh-CN"/>
        </w:rPr>
        <w:t>　</w:t>
      </w:r>
      <w:r>
        <w:rPr>
          <w:rFonts w:hint="eastAsia" w:ascii="仿宋_GB2312" w:hAnsi="Arial" w:eastAsia="仿宋_GB2312" w:cs="Arial"/>
          <w:sz w:val="32"/>
          <w:szCs w:val="32"/>
        </w:rPr>
        <w:t>省、市、县成立广播电视安全播出指挥部，由广播电视行政部门、广播电视台、广播电视监测部门、有线电视、IPTV运营商等单位人员组成，负责组织协调本级广播电视安全播出日常事务。</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hint="eastAsia" w:ascii="仿宋_GB2312" w:hAnsi="Arial" w:eastAsia="仿宋_GB2312" w:cs="Arial"/>
          <w:sz w:val="32"/>
          <w:szCs w:val="32"/>
        </w:rPr>
      </w:pPr>
    </w:p>
    <w:p>
      <w:pPr>
        <w:keepNext w:val="0"/>
        <w:keepLines w:val="0"/>
        <w:pageBreakBefore w:val="0"/>
        <w:kinsoku/>
        <w:wordWrap/>
        <w:overflowPunct/>
        <w:topLinePunct w:val="0"/>
        <w:autoSpaceDE/>
        <w:autoSpaceDN/>
        <w:bidi w:val="0"/>
        <w:adjustRightInd/>
        <w:snapToGrid/>
        <w:spacing w:line="560" w:lineRule="exact"/>
        <w:ind w:left="16" w:hanging="16" w:hangingChars="5"/>
        <w:contextualSpacing/>
        <w:jc w:val="center"/>
        <w:textAlignment w:val="auto"/>
        <w:outlineLvl w:val="0"/>
        <w:rPr>
          <w:rFonts w:hint="eastAsia" w:ascii="黑体" w:hAnsi="黑体" w:eastAsia="黑体" w:cs="黑体"/>
          <w:b w:val="0"/>
          <w:bCs/>
          <w:sz w:val="32"/>
          <w:szCs w:val="32"/>
        </w:rPr>
      </w:pPr>
      <w:r>
        <w:rPr>
          <w:rFonts w:hint="eastAsia" w:ascii="黑体" w:hAnsi="黑体" w:eastAsia="黑体" w:cs="黑体"/>
          <w:b w:val="0"/>
          <w:bCs/>
          <w:sz w:val="32"/>
          <w:szCs w:val="32"/>
        </w:rPr>
        <w:t>第三章</w:t>
      </w:r>
      <w:r>
        <w:rPr>
          <w:rFonts w:hint="eastAsia" w:ascii="黑体" w:hAnsi="黑体" w:eastAsia="黑体" w:cs="黑体"/>
          <w:b w:val="0"/>
          <w:bCs/>
          <w:sz w:val="32"/>
          <w:szCs w:val="32"/>
          <w:lang w:eastAsia="zh-CN"/>
        </w:rPr>
        <w:t>　</w:t>
      </w:r>
      <w:r>
        <w:rPr>
          <w:rFonts w:hint="eastAsia" w:ascii="黑体" w:hAnsi="黑体" w:eastAsia="黑体" w:cs="黑体"/>
          <w:b w:val="0"/>
          <w:bCs/>
          <w:sz w:val="32"/>
          <w:szCs w:val="32"/>
        </w:rPr>
        <w:t>技术保障</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jc w:val="both"/>
        <w:textAlignment w:val="auto"/>
        <w:outlineLvl w:val="0"/>
        <w:rPr>
          <w:rFonts w:ascii="仿宋_GB2312" w:hAnsi="Arial" w:eastAsia="仿宋_GB2312" w:cs="Arial"/>
          <w:sz w:val="32"/>
          <w:szCs w:val="32"/>
        </w:rPr>
      </w:pPr>
      <w:r>
        <w:rPr>
          <w:rFonts w:hint="eastAsia" w:ascii="黑体" w:hAnsi="黑体" w:eastAsia="黑体" w:cs="黑体"/>
          <w:b w:val="0"/>
          <w:bCs/>
          <w:sz w:val="32"/>
          <w:szCs w:val="32"/>
        </w:rPr>
        <w:t>第八条</w:t>
      </w:r>
      <w:r>
        <w:rPr>
          <w:rFonts w:hint="eastAsia" w:ascii="仿宋_GB2312" w:eastAsia="仿宋_GB2312"/>
          <w:sz w:val="32"/>
          <w:szCs w:val="32"/>
          <w:lang w:eastAsia="zh-CN"/>
        </w:rPr>
        <w:t>　</w:t>
      </w:r>
      <w:r>
        <w:rPr>
          <w:rFonts w:hint="eastAsia" w:ascii="仿宋_GB2312" w:eastAsia="仿宋_GB2312"/>
          <w:sz w:val="32"/>
          <w:szCs w:val="32"/>
        </w:rPr>
        <w:t>广播电视行政部门、广播电视监测部门，要建立健全技术监测系统，避免漏监、错监；建立健全指挥调度系统，保证快速、准确发布预警和调度指令</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outlineLvl w:val="0"/>
        <w:rPr>
          <w:rFonts w:ascii="仿宋_GB2312" w:hAnsi="Arial" w:eastAsia="仿宋_GB2312" w:cs="Arial"/>
          <w:sz w:val="32"/>
          <w:szCs w:val="32"/>
        </w:rPr>
      </w:pPr>
      <w:r>
        <w:rPr>
          <w:rFonts w:hint="eastAsia" w:ascii="黑体" w:hAnsi="黑体" w:eastAsia="黑体" w:cs="黑体"/>
          <w:b w:val="0"/>
          <w:bCs/>
          <w:sz w:val="32"/>
          <w:szCs w:val="32"/>
        </w:rPr>
        <w:t>第九条</w:t>
      </w:r>
      <w:r>
        <w:rPr>
          <w:rFonts w:hint="eastAsia" w:ascii="黑体" w:hAnsi="黑体" w:eastAsia="黑体" w:cs="黑体"/>
          <w:b w:val="0"/>
          <w:bCs/>
          <w:sz w:val="32"/>
          <w:szCs w:val="32"/>
          <w:lang w:eastAsia="zh-CN"/>
        </w:rPr>
        <w:t>　</w:t>
      </w:r>
      <w:r>
        <w:rPr>
          <w:rFonts w:hint="eastAsia" w:ascii="仿宋_GB2312" w:hAnsi="Arial" w:eastAsia="仿宋_GB2312" w:cs="Arial"/>
          <w:sz w:val="32"/>
          <w:szCs w:val="32"/>
        </w:rPr>
        <w:t>安全播出责任单位的设施系统应当符合下列规定：</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仿宋_GB2312" w:hAnsi="Arial" w:eastAsia="仿宋_GB2312" w:cs="Arial"/>
          <w:sz w:val="32"/>
          <w:szCs w:val="32"/>
        </w:rPr>
        <w:t>（一）外部供电及发电机配备符合总局对该级该类播出单位要求，配电柜符合双回路设计，供电状态有远程监测监看。配电柜到播出机房机柜应采用两条不同路由供电，播出机房主备播出设备不得从同一路由电源取电。</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hint="eastAsia" w:ascii="仿宋_GB2312" w:hAnsi="Arial" w:eastAsia="仿宋_GB2312" w:cs="Arial"/>
          <w:sz w:val="32"/>
          <w:szCs w:val="32"/>
          <w:lang w:eastAsia="zh-CN"/>
        </w:rPr>
      </w:pPr>
      <w:r>
        <w:rPr>
          <w:rFonts w:hint="eastAsia" w:ascii="仿宋_GB2312" w:hAnsi="Arial" w:eastAsia="仿宋_GB2312" w:cs="Arial"/>
          <w:sz w:val="32"/>
          <w:szCs w:val="32"/>
        </w:rPr>
        <w:t>（二）播出系统外来信号源须有不同来源不同路由的主备信号源，且能故障报警、自动切换。信号源使用单位负责对</w:t>
      </w:r>
      <w:r>
        <w:rPr>
          <w:rFonts w:hint="eastAsia" w:ascii="仿宋_GB2312" w:hAnsi="Arial" w:eastAsia="仿宋_GB2312" w:cs="Arial"/>
          <w:sz w:val="32"/>
          <w:szCs w:val="32"/>
          <w:lang w:eastAsia="zh-CN"/>
        </w:rPr>
        <w:t>主备</w:t>
      </w:r>
      <w:r>
        <w:rPr>
          <w:rFonts w:hint="eastAsia" w:ascii="仿宋_GB2312" w:hAnsi="Arial" w:eastAsia="仿宋_GB2312" w:cs="Arial"/>
          <w:sz w:val="32"/>
          <w:szCs w:val="32"/>
        </w:rPr>
        <w:t>信号源质量监听监看</w:t>
      </w:r>
      <w:r>
        <w:rPr>
          <w:rFonts w:hint="eastAsia" w:ascii="仿宋_GB2312" w:hAnsi="Arial" w:eastAsia="仿宋_GB2312" w:cs="Arial"/>
          <w:sz w:val="32"/>
          <w:szCs w:val="32"/>
          <w:lang w:eastAsia="zh-CN"/>
        </w:rPr>
        <w:t>，发现信号源质量问题，第一时间告知上游单位，信号源影响安全播</w:t>
      </w:r>
      <w:r>
        <w:rPr>
          <w:rFonts w:hint="eastAsia" w:ascii="仿宋_GB2312" w:hAnsi="Arial" w:eastAsia="仿宋_GB2312" w:cs="Arial"/>
          <w:color w:val="auto"/>
          <w:sz w:val="32"/>
          <w:szCs w:val="32"/>
          <w:lang w:eastAsia="zh-CN"/>
        </w:rPr>
        <w:t>出质量立即启动应急</w:t>
      </w:r>
      <w:r>
        <w:rPr>
          <w:rFonts w:hint="eastAsia" w:ascii="仿宋_GB2312" w:hAnsi="Arial" w:eastAsia="仿宋_GB2312" w:cs="Arial"/>
          <w:sz w:val="32"/>
          <w:szCs w:val="32"/>
          <w:lang w:eastAsia="zh-CN"/>
        </w:rPr>
        <w:t>预案</w:t>
      </w:r>
      <w:r>
        <w:rPr>
          <w:rFonts w:hint="eastAsia" w:ascii="仿宋_GB2312" w:hAnsi="Arial" w:eastAsia="仿宋_GB2312" w:cs="Arial"/>
          <w:sz w:val="32"/>
          <w:szCs w:val="32"/>
        </w:rPr>
        <w:t>。</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hint="eastAsia" w:ascii="仿宋_GB2312" w:hAnsi="Arial" w:eastAsia="仿宋_GB2312" w:cs="Arial"/>
          <w:sz w:val="32"/>
          <w:szCs w:val="32"/>
        </w:rPr>
      </w:pPr>
      <w:r>
        <w:rPr>
          <w:rFonts w:hint="eastAsia" w:ascii="仿宋_GB2312" w:hAnsi="Arial" w:eastAsia="仿宋_GB2312" w:cs="Arial"/>
          <w:sz w:val="32"/>
          <w:szCs w:val="32"/>
        </w:rPr>
        <w:t>（三）播出及发射系统须有独立的主备系统相互备份。</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仿宋_GB2312" w:hAnsi="Arial" w:eastAsia="仿宋_GB2312" w:cs="Arial"/>
          <w:sz w:val="32"/>
          <w:szCs w:val="32"/>
        </w:rPr>
        <w:t>（四）供电、信号源、播出系统应避免存在单一节点。</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仿宋_GB2312" w:hAnsi="Arial" w:eastAsia="仿宋_GB2312" w:cs="Arial"/>
          <w:sz w:val="32"/>
          <w:szCs w:val="32"/>
        </w:rPr>
        <w:t>（五）播出、传输、覆盖信息网络系统须符合等级保护有关规定。系统登录须做到每个人使用独立的账号、密码。</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hint="eastAsia" w:ascii="仿宋_GB2312" w:hAnsi="Arial" w:eastAsia="仿宋_GB2312" w:cs="Arial"/>
          <w:sz w:val="32"/>
          <w:szCs w:val="32"/>
        </w:rPr>
      </w:pPr>
      <w:r>
        <w:rPr>
          <w:rFonts w:hint="eastAsia" w:ascii="仿宋_GB2312" w:hAnsi="Arial" w:eastAsia="仿宋_GB2312" w:cs="Arial"/>
          <w:sz w:val="32"/>
          <w:szCs w:val="32"/>
        </w:rPr>
        <w:t>（六）完善节目监听监看，防止播出信号被篡改、插播</w:t>
      </w:r>
      <w:r>
        <w:rPr>
          <w:rFonts w:hint="eastAsia" w:ascii="仿宋_GB2312" w:hAnsi="Arial" w:eastAsia="仿宋_GB2312" w:cs="Arial"/>
          <w:sz w:val="32"/>
          <w:szCs w:val="32"/>
          <w:lang w:eastAsia="zh-CN"/>
        </w:rPr>
        <w:t>等</w:t>
      </w:r>
      <w:r>
        <w:rPr>
          <w:rFonts w:hint="eastAsia" w:ascii="仿宋_GB2312" w:hAnsi="Arial" w:eastAsia="仿宋_GB2312" w:cs="Arial"/>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仿宋_GB2312" w:hAnsi="Arial" w:eastAsia="仿宋_GB2312" w:cs="Arial"/>
          <w:sz w:val="32"/>
          <w:szCs w:val="32"/>
        </w:rPr>
        <w:t>（七）播出单位新建、搬迁及升级改造的播出系统，凡不符合上述要求的，不得通过验收。</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仿宋_GB2312" w:hAnsi="Arial" w:eastAsia="仿宋_GB2312" w:cs="Arial"/>
          <w:sz w:val="32"/>
          <w:szCs w:val="32"/>
        </w:rPr>
        <w:t>（八）保持机房及技术系统设施的整齐、清洁、标识清楚，开展日常巡查并对实际情况进行记录。</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黑体" w:hAnsi="黑体" w:eastAsia="黑体" w:cs="黑体"/>
          <w:b w:val="0"/>
          <w:bCs/>
          <w:sz w:val="32"/>
          <w:szCs w:val="32"/>
        </w:rPr>
        <w:t>第十条</w:t>
      </w:r>
      <w:r>
        <w:rPr>
          <w:rFonts w:hint="eastAsia" w:ascii="仿宋_GB2312" w:hAnsi="Arial" w:eastAsia="仿宋_GB2312" w:cs="Arial"/>
          <w:sz w:val="32"/>
          <w:szCs w:val="32"/>
          <w:lang w:eastAsia="zh-CN"/>
        </w:rPr>
        <w:t>　</w:t>
      </w:r>
      <w:r>
        <w:rPr>
          <w:rFonts w:hint="eastAsia" w:ascii="仿宋_GB2312" w:hAnsi="Arial" w:eastAsia="仿宋_GB2312" w:cs="Arial"/>
          <w:sz w:val="32"/>
          <w:szCs w:val="32"/>
        </w:rPr>
        <w:t>广播电视安全播出责任单位要成立安全保护工作机构、明确安全保护工作责任人、配备安保人员等措施提高人防水平。建成视频监控系统、入侵报警系统、出入口控制系统、防爆安检系统、公共广播系统、电子巡查系统等安全保护技术防范设施，设置车辆阻挡装置、应急用品、行包寄存柜等物防设施。</w:t>
      </w:r>
    </w:p>
    <w:p>
      <w:pPr>
        <w:keepNext w:val="0"/>
        <w:keepLines w:val="0"/>
        <w:pageBreakBefore w:val="0"/>
        <w:kinsoku/>
        <w:wordWrap/>
        <w:overflowPunct/>
        <w:topLinePunct w:val="0"/>
        <w:autoSpaceDE/>
        <w:autoSpaceDN/>
        <w:bidi w:val="0"/>
        <w:adjustRightInd/>
        <w:snapToGrid/>
        <w:spacing w:line="560" w:lineRule="exact"/>
        <w:ind w:left="16" w:hanging="16" w:hangingChars="5"/>
        <w:contextualSpacing/>
        <w:jc w:val="center"/>
        <w:textAlignment w:val="auto"/>
        <w:outlineLvl w:val="0"/>
        <w:rPr>
          <w:rFonts w:hint="eastAsia" w:ascii="黑体" w:hAnsi="黑体" w:eastAsia="黑体" w:cs="黑体"/>
          <w:b w:val="0"/>
          <w:bCs/>
          <w:sz w:val="32"/>
          <w:szCs w:val="32"/>
        </w:rPr>
      </w:pPr>
      <w:r>
        <w:rPr>
          <w:rFonts w:hint="eastAsia" w:ascii="黑体" w:hAnsi="黑体" w:eastAsia="黑体" w:cs="黑体"/>
          <w:b w:val="0"/>
          <w:bCs/>
          <w:sz w:val="32"/>
          <w:szCs w:val="32"/>
        </w:rPr>
        <w:t>第四章</w:t>
      </w:r>
      <w:r>
        <w:rPr>
          <w:rFonts w:hint="eastAsia" w:ascii="黑体" w:hAnsi="黑体" w:eastAsia="黑体" w:cs="黑体"/>
          <w:b w:val="0"/>
          <w:bCs/>
          <w:sz w:val="32"/>
          <w:szCs w:val="32"/>
          <w:lang w:eastAsia="zh-CN"/>
        </w:rPr>
        <w:t>　</w:t>
      </w:r>
      <w:r>
        <w:rPr>
          <w:rFonts w:hint="eastAsia" w:ascii="黑体" w:hAnsi="黑体" w:eastAsia="黑体" w:cs="黑体"/>
          <w:b w:val="0"/>
          <w:bCs/>
          <w:sz w:val="32"/>
          <w:szCs w:val="32"/>
        </w:rPr>
        <w:t>运维管理</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黑体" w:hAnsi="黑体" w:eastAsia="黑体" w:cs="黑体"/>
          <w:b w:val="0"/>
          <w:bCs/>
          <w:sz w:val="32"/>
          <w:szCs w:val="32"/>
        </w:rPr>
        <w:t>第十一条</w:t>
      </w:r>
      <w:r>
        <w:rPr>
          <w:rFonts w:hint="eastAsia" w:ascii="仿宋_GB2312" w:hAnsi="Arial" w:eastAsia="仿宋_GB2312" w:cs="Arial"/>
          <w:sz w:val="32"/>
          <w:szCs w:val="32"/>
          <w:lang w:eastAsia="zh-CN"/>
        </w:rPr>
        <w:t>　</w:t>
      </w:r>
      <w:r>
        <w:rPr>
          <w:rFonts w:hint="eastAsia" w:ascii="仿宋_GB2312" w:hAnsi="Arial" w:eastAsia="仿宋_GB2312" w:cs="Arial"/>
          <w:sz w:val="32"/>
          <w:szCs w:val="32"/>
        </w:rPr>
        <w:t>安全播出责任单位建立运行维护组织架构，理顺运行维护管理机制，确立相应的管理目标，建立完整的管理制度和管理程序，职责明确到人，责任落实到岗。</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黑体" w:hAnsi="黑体" w:eastAsia="黑体" w:cs="黑体"/>
          <w:b w:val="0"/>
          <w:bCs/>
          <w:sz w:val="32"/>
          <w:szCs w:val="32"/>
        </w:rPr>
        <w:t>第十二条</w:t>
      </w:r>
      <w:r>
        <w:rPr>
          <w:rFonts w:hint="eastAsia" w:ascii="仿宋_GB2312" w:hAnsi="Arial" w:eastAsia="仿宋_GB2312" w:cs="Arial"/>
          <w:sz w:val="32"/>
          <w:szCs w:val="32"/>
          <w:lang w:eastAsia="zh-CN"/>
        </w:rPr>
        <w:t>　</w:t>
      </w:r>
      <w:r>
        <w:rPr>
          <w:rFonts w:hint="eastAsia" w:ascii="仿宋_GB2312" w:hAnsi="Arial" w:eastAsia="仿宋_GB2312" w:cs="Arial"/>
          <w:sz w:val="32"/>
          <w:szCs w:val="32"/>
        </w:rPr>
        <w:t>省安全播出指挥部安排专人值班，监测、统计、分析全省广播电视安全播出情况和播出质量。出现特大、重大安全播出事故、事件及时向省广电局分管领导、业务主管部门报告，迅速开展调查分析，提</w:t>
      </w:r>
      <w:r>
        <w:rPr>
          <w:rFonts w:hint="eastAsia" w:ascii="仿宋_GB2312" w:hAnsi="Arial" w:eastAsia="仿宋_GB2312" w:cs="Arial"/>
          <w:sz w:val="32"/>
          <w:szCs w:val="32"/>
          <w:lang w:eastAsia="zh-CN"/>
        </w:rPr>
        <w:t>出</w:t>
      </w:r>
      <w:r>
        <w:rPr>
          <w:rFonts w:hint="eastAsia" w:ascii="仿宋_GB2312" w:hAnsi="Arial" w:eastAsia="仿宋_GB2312" w:cs="Arial"/>
          <w:sz w:val="32"/>
          <w:szCs w:val="32"/>
        </w:rPr>
        <w:t>整改方案，根据省广电局领导指示和有关要求向国家广播电视总局相关职能部门或者监测监管部门报告情况。</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黑体" w:hAnsi="黑体" w:eastAsia="黑体" w:cs="黑体"/>
          <w:b w:val="0"/>
          <w:bCs/>
          <w:sz w:val="32"/>
          <w:szCs w:val="32"/>
        </w:rPr>
        <w:t>第十三条</w:t>
      </w:r>
      <w:r>
        <w:rPr>
          <w:rFonts w:hint="eastAsia" w:ascii="黑体" w:hAnsi="黑体" w:eastAsia="黑体" w:cs="黑体"/>
          <w:b w:val="0"/>
          <w:bCs/>
          <w:sz w:val="32"/>
          <w:szCs w:val="32"/>
          <w:lang w:eastAsia="zh-CN"/>
        </w:rPr>
        <w:t>　</w:t>
      </w:r>
      <w:r>
        <w:rPr>
          <w:rFonts w:hint="eastAsia" w:ascii="仿宋_GB2312" w:hAnsi="Arial" w:eastAsia="仿宋_GB2312" w:cs="Arial"/>
          <w:sz w:val="32"/>
          <w:szCs w:val="32"/>
        </w:rPr>
        <w:t>安全播出责任单位需制定本单位的安全播出保障方案和播出、运行工作流程。</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黑体" w:hAnsi="黑体" w:eastAsia="黑体" w:cs="黑体"/>
          <w:b w:val="0"/>
          <w:bCs/>
          <w:sz w:val="32"/>
          <w:szCs w:val="32"/>
        </w:rPr>
        <w:t>第十四条</w:t>
      </w:r>
      <w:r>
        <w:rPr>
          <w:rFonts w:hint="eastAsia" w:ascii="黑体" w:hAnsi="黑体" w:eastAsia="黑体" w:cs="黑体"/>
          <w:b w:val="0"/>
          <w:bCs/>
          <w:sz w:val="32"/>
          <w:szCs w:val="32"/>
          <w:lang w:eastAsia="zh-CN"/>
        </w:rPr>
        <w:t>　</w:t>
      </w:r>
      <w:r>
        <w:rPr>
          <w:rFonts w:hint="eastAsia" w:ascii="仿宋_GB2312" w:hAnsi="Arial" w:eastAsia="仿宋_GB2312" w:cs="Arial"/>
          <w:sz w:val="32"/>
          <w:szCs w:val="32"/>
        </w:rPr>
        <w:t xml:space="preserve">安全播出责任单位要制定运行维护计划，技术系统按周、月、季、年进行例行维护和预防性维护，保证广播电视播出设备处于良好运行状态。  </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黑体" w:hAnsi="黑体" w:eastAsia="黑体" w:cs="黑体"/>
          <w:b w:val="0"/>
          <w:bCs/>
          <w:sz w:val="32"/>
          <w:szCs w:val="32"/>
        </w:rPr>
        <w:t>第十五条</w:t>
      </w:r>
      <w:r>
        <w:rPr>
          <w:rFonts w:hint="eastAsia" w:ascii="黑体" w:hAnsi="黑体" w:eastAsia="黑体" w:cs="黑体"/>
          <w:b w:val="0"/>
          <w:bCs/>
          <w:sz w:val="32"/>
          <w:szCs w:val="32"/>
          <w:lang w:eastAsia="zh-CN"/>
        </w:rPr>
        <w:t>　</w:t>
      </w:r>
      <w:r>
        <w:rPr>
          <w:rFonts w:hint="eastAsia" w:ascii="仿宋_GB2312" w:hAnsi="Arial" w:eastAsia="仿宋_GB2312" w:cs="Arial"/>
          <w:sz w:val="32"/>
          <w:szCs w:val="32"/>
        </w:rPr>
        <w:t>安全播出责任单位对设备运行状态进行监控，及时发现并处置播出故障；监测信号的保存时间按总局有关规定执行。</w:t>
      </w:r>
      <w:r>
        <w:rPr>
          <w:rFonts w:ascii="仿宋_GB2312" w:hAnsi="Arial" w:eastAsia="仿宋_GB2312" w:cs="Arial"/>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left="16" w:hanging="16" w:hangingChars="5"/>
        <w:contextualSpacing/>
        <w:jc w:val="center"/>
        <w:textAlignment w:val="auto"/>
        <w:outlineLvl w:val="0"/>
        <w:rPr>
          <w:rFonts w:hint="eastAsia" w:ascii="黑体" w:hAnsi="黑体" w:eastAsia="黑体" w:cs="黑体"/>
          <w:b w:val="0"/>
          <w:bCs/>
          <w:sz w:val="32"/>
          <w:szCs w:val="32"/>
        </w:rPr>
      </w:pPr>
      <w:r>
        <w:rPr>
          <w:rFonts w:hint="eastAsia" w:ascii="黑体" w:hAnsi="黑体" w:eastAsia="黑体" w:cs="黑体"/>
          <w:b w:val="0"/>
          <w:bCs/>
          <w:sz w:val="32"/>
          <w:szCs w:val="32"/>
        </w:rPr>
        <w:t>第五章</w:t>
      </w:r>
      <w:r>
        <w:rPr>
          <w:rFonts w:hint="eastAsia" w:ascii="黑体" w:hAnsi="黑体" w:eastAsia="黑体" w:cs="黑体"/>
          <w:b w:val="0"/>
          <w:bCs/>
          <w:sz w:val="32"/>
          <w:szCs w:val="32"/>
          <w:lang w:eastAsia="zh-CN"/>
        </w:rPr>
        <w:t>　</w:t>
      </w:r>
      <w:r>
        <w:rPr>
          <w:rFonts w:hint="eastAsia" w:ascii="黑体" w:hAnsi="黑体" w:eastAsia="黑体" w:cs="黑体"/>
          <w:b w:val="0"/>
          <w:bCs/>
          <w:sz w:val="32"/>
          <w:szCs w:val="32"/>
        </w:rPr>
        <w:t>重要保障期管理</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黑体" w:hAnsi="黑体" w:eastAsia="黑体" w:cs="黑体"/>
          <w:b w:val="0"/>
          <w:bCs/>
          <w:sz w:val="32"/>
          <w:szCs w:val="32"/>
        </w:rPr>
        <w:t>第十六条</w:t>
      </w:r>
      <w:r>
        <w:rPr>
          <w:rFonts w:hint="eastAsia" w:ascii="仿宋_GB2312" w:hAnsi="Arial" w:eastAsia="仿宋_GB2312" w:cs="Arial"/>
          <w:sz w:val="32"/>
          <w:szCs w:val="32"/>
          <w:lang w:eastAsia="zh-CN"/>
        </w:rPr>
        <w:t>　</w:t>
      </w:r>
      <w:r>
        <w:rPr>
          <w:rFonts w:hint="eastAsia" w:ascii="仿宋_GB2312" w:hAnsi="Arial" w:eastAsia="仿宋_GB2312" w:cs="Arial"/>
          <w:sz w:val="32"/>
          <w:szCs w:val="32"/>
        </w:rPr>
        <w:t>省级安全播出重要保障期由省广电局规定，地方安全播出重要保障期由县级以上地方人民政府广播电视行政部门规定。</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黑体" w:hAnsi="黑体" w:eastAsia="黑体" w:cs="黑体"/>
          <w:b w:val="0"/>
          <w:bCs/>
          <w:sz w:val="32"/>
          <w:szCs w:val="32"/>
        </w:rPr>
        <w:t>第十七条</w:t>
      </w:r>
      <w:r>
        <w:rPr>
          <w:rFonts w:hint="eastAsia" w:ascii="仿宋_GB2312" w:hAnsi="Arial" w:eastAsia="仿宋_GB2312" w:cs="Arial"/>
          <w:sz w:val="32"/>
          <w:szCs w:val="32"/>
          <w:lang w:eastAsia="zh-CN"/>
        </w:rPr>
        <w:t>　</w:t>
      </w:r>
      <w:r>
        <w:rPr>
          <w:rFonts w:hint="eastAsia" w:ascii="仿宋_GB2312" w:hAnsi="Arial" w:eastAsia="仿宋_GB2312" w:cs="Arial"/>
          <w:sz w:val="32"/>
          <w:szCs w:val="32"/>
        </w:rPr>
        <w:t>各级广播电视行政部门在重要保障期间加强对安全播出责任单位各项工作的监督、检查。</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黑体" w:hAnsi="黑体" w:eastAsia="黑体" w:cs="黑体"/>
          <w:b w:val="0"/>
          <w:bCs/>
          <w:sz w:val="32"/>
          <w:szCs w:val="32"/>
        </w:rPr>
        <w:t>第十八条</w:t>
      </w:r>
      <w:r>
        <w:rPr>
          <w:rFonts w:hint="eastAsia" w:ascii="仿宋_GB2312" w:hAnsi="Arial" w:eastAsia="仿宋_GB2312" w:cs="Arial"/>
          <w:sz w:val="32"/>
          <w:szCs w:val="32"/>
          <w:lang w:eastAsia="zh-CN"/>
        </w:rPr>
        <w:t>　</w:t>
      </w:r>
      <w:r>
        <w:rPr>
          <w:rFonts w:hint="eastAsia" w:ascii="仿宋_GB2312" w:hAnsi="Arial" w:eastAsia="仿宋_GB2312" w:cs="Arial"/>
          <w:sz w:val="32"/>
          <w:szCs w:val="32"/>
        </w:rPr>
        <w:t xml:space="preserve">安全播出责任单位应当结合本单位实际，在重要保障期前制定保障预案，做好动员部署、安全防范和技术准备。 </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黑体" w:hAnsi="黑体" w:eastAsia="黑体" w:cs="黑体"/>
          <w:b w:val="0"/>
          <w:bCs/>
          <w:sz w:val="32"/>
          <w:szCs w:val="32"/>
        </w:rPr>
        <w:t>第十九条</w:t>
      </w:r>
      <w:r>
        <w:rPr>
          <w:rFonts w:hint="eastAsia" w:ascii="仿宋_GB2312" w:hAnsi="Arial" w:eastAsia="仿宋_GB2312" w:cs="Arial"/>
          <w:sz w:val="32"/>
          <w:szCs w:val="32"/>
          <w:lang w:eastAsia="zh-CN"/>
        </w:rPr>
        <w:t>　</w:t>
      </w:r>
      <w:r>
        <w:rPr>
          <w:rFonts w:hint="eastAsia" w:ascii="仿宋_GB2312" w:hAnsi="Arial" w:eastAsia="仿宋_GB2312" w:cs="Arial"/>
          <w:sz w:val="32"/>
          <w:szCs w:val="32"/>
        </w:rPr>
        <w:t>重要保障期间安全播出责任单位应当全面落实重要保障期预案的各项要求，强化值守和监测，做好应急准备。</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黑体" w:hAnsi="黑体" w:eastAsia="黑体" w:cs="黑体"/>
          <w:b w:val="0"/>
          <w:bCs/>
          <w:sz w:val="32"/>
          <w:szCs w:val="32"/>
        </w:rPr>
        <w:t>第二十条</w:t>
      </w:r>
      <w:r>
        <w:rPr>
          <w:rFonts w:hint="eastAsia" w:ascii="仿宋_GB2312" w:hAnsi="Arial" w:eastAsia="仿宋_GB2312" w:cs="Arial"/>
          <w:sz w:val="32"/>
          <w:szCs w:val="32"/>
          <w:lang w:eastAsia="zh-CN"/>
        </w:rPr>
        <w:t>　</w:t>
      </w:r>
      <w:r>
        <w:rPr>
          <w:rFonts w:hint="eastAsia" w:ascii="仿宋_GB2312" w:hAnsi="Arial" w:eastAsia="仿宋_GB2312" w:cs="Arial"/>
          <w:sz w:val="32"/>
          <w:szCs w:val="32"/>
        </w:rPr>
        <w:t>重要节目和重点时段，带班领导应当现场指挥，在人员、设备等方面给予保障，做好重点区域、重点部位的防范和应急准备。</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黑体" w:hAnsi="黑体" w:eastAsia="黑体" w:cs="黑体"/>
          <w:b w:val="0"/>
          <w:bCs/>
          <w:sz w:val="32"/>
          <w:szCs w:val="32"/>
        </w:rPr>
        <w:t>第二十一条</w:t>
      </w:r>
      <w:r>
        <w:rPr>
          <w:rFonts w:hint="eastAsia" w:ascii="仿宋_GB2312" w:hAnsi="Arial" w:eastAsia="仿宋_GB2312" w:cs="Arial"/>
          <w:sz w:val="32"/>
          <w:szCs w:val="32"/>
          <w:lang w:eastAsia="zh-CN"/>
        </w:rPr>
        <w:t>　</w:t>
      </w:r>
      <w:r>
        <w:rPr>
          <w:rFonts w:hint="eastAsia" w:ascii="仿宋_GB2312" w:hAnsi="Arial" w:eastAsia="仿宋_GB2312" w:cs="Arial"/>
          <w:sz w:val="32"/>
          <w:szCs w:val="32"/>
        </w:rPr>
        <w:t>重要保障期以及重要节目和重点时段，安全播出责任单位不得进行例行检修或者有可能影响安全播出的施工，不得进行软硬件和参数配置调整等操作。因排除故障等特殊情况必须检修并可能造成广播电视节目停播（传）的，报省广电局批准。</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黑体" w:hAnsi="黑体" w:eastAsia="黑体" w:cs="黑体"/>
          <w:b w:val="0"/>
          <w:bCs/>
          <w:sz w:val="32"/>
          <w:szCs w:val="32"/>
        </w:rPr>
        <w:t>第二十二条</w:t>
      </w:r>
      <w:r>
        <w:rPr>
          <w:rFonts w:hint="eastAsia" w:ascii="仿宋_GB2312" w:hAnsi="Arial" w:eastAsia="仿宋_GB2312" w:cs="Arial"/>
          <w:sz w:val="32"/>
          <w:szCs w:val="32"/>
          <w:lang w:eastAsia="zh-CN"/>
        </w:rPr>
        <w:t>　</w:t>
      </w:r>
      <w:r>
        <w:rPr>
          <w:rFonts w:hint="eastAsia" w:ascii="仿宋_GB2312" w:hAnsi="Arial" w:eastAsia="仿宋_GB2312" w:cs="Arial"/>
          <w:sz w:val="32"/>
          <w:szCs w:val="32"/>
        </w:rPr>
        <w:t>因重要保障期取消例行检修时段的，广播电视台应当提前做好节目安排和节目单核查，避免造成节目空播。</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Arial" w:eastAsia="仿宋_GB2312" w:cs="Arial"/>
          <w:sz w:val="32"/>
          <w:szCs w:val="32"/>
        </w:rPr>
      </w:pPr>
      <w:r>
        <w:rPr>
          <w:rFonts w:hint="eastAsia" w:ascii="黑体" w:hAnsi="黑体" w:eastAsia="黑体" w:cs="黑体"/>
          <w:b w:val="0"/>
          <w:bCs/>
          <w:sz w:val="32"/>
          <w:szCs w:val="32"/>
        </w:rPr>
        <w:t>第二十三条</w:t>
      </w:r>
      <w:r>
        <w:rPr>
          <w:rFonts w:hint="eastAsia" w:ascii="仿宋_GB2312" w:hAnsi="Arial" w:eastAsia="仿宋_GB2312" w:cs="Arial"/>
          <w:sz w:val="32"/>
          <w:szCs w:val="32"/>
          <w:lang w:eastAsia="zh-CN"/>
        </w:rPr>
        <w:t>　</w:t>
      </w:r>
      <w:r>
        <w:rPr>
          <w:rFonts w:hint="eastAsia" w:ascii="仿宋_GB2312" w:hAnsi="Arial" w:eastAsia="仿宋_GB2312" w:cs="Arial"/>
          <w:sz w:val="32"/>
          <w:szCs w:val="32"/>
        </w:rPr>
        <w:t>因重要保障期启动安全保护工作预案，</w:t>
      </w:r>
      <w:r>
        <w:rPr>
          <w:rFonts w:hint="eastAsia" w:ascii="仿宋_GB2312" w:eastAsia="仿宋_GB2312"/>
          <w:sz w:val="32"/>
          <w:szCs w:val="32"/>
        </w:rPr>
        <w:t>重点部位</w:t>
      </w:r>
      <w:r>
        <w:rPr>
          <w:rFonts w:hint="eastAsia" w:ascii="仿宋_GB2312" w:eastAsia="仿宋_GB2312"/>
          <w:sz w:val="32"/>
          <w:szCs w:val="32"/>
          <w:lang w:eastAsia="zh-CN"/>
        </w:rPr>
        <w:t>要</w:t>
      </w:r>
      <w:r>
        <w:rPr>
          <w:rFonts w:hint="eastAsia" w:ascii="仿宋_GB2312" w:eastAsia="仿宋_GB2312"/>
          <w:sz w:val="32"/>
          <w:szCs w:val="32"/>
        </w:rPr>
        <w:t>加强安保守护力量,单位和重要设施安保巡查密度提升1倍。</w:t>
      </w:r>
    </w:p>
    <w:p>
      <w:pPr>
        <w:keepNext w:val="0"/>
        <w:keepLines w:val="0"/>
        <w:pageBreakBefore w:val="0"/>
        <w:kinsoku/>
        <w:wordWrap/>
        <w:overflowPunct/>
        <w:topLinePunct w:val="0"/>
        <w:autoSpaceDE/>
        <w:autoSpaceDN/>
        <w:bidi w:val="0"/>
        <w:adjustRightInd/>
        <w:snapToGrid/>
        <w:spacing w:line="560" w:lineRule="exact"/>
        <w:ind w:left="16" w:hanging="16" w:hangingChars="5"/>
        <w:contextualSpacing/>
        <w:jc w:val="center"/>
        <w:textAlignment w:val="auto"/>
        <w:outlineLvl w:val="0"/>
        <w:rPr>
          <w:rFonts w:hint="eastAsia" w:ascii="黑体" w:hAnsi="黑体" w:eastAsia="黑体" w:cs="黑体"/>
          <w:b w:val="0"/>
          <w:bCs/>
          <w:sz w:val="32"/>
          <w:szCs w:val="32"/>
        </w:rPr>
      </w:pPr>
      <w:r>
        <w:rPr>
          <w:rFonts w:hint="eastAsia" w:ascii="黑体" w:hAnsi="黑体" w:eastAsia="黑体" w:cs="黑体"/>
          <w:b w:val="0"/>
          <w:bCs/>
          <w:sz w:val="32"/>
          <w:szCs w:val="32"/>
        </w:rPr>
        <w:t>第六章</w:t>
      </w:r>
      <w:r>
        <w:rPr>
          <w:rFonts w:hint="eastAsia" w:ascii="黑体" w:hAnsi="黑体" w:eastAsia="黑体" w:cs="黑体"/>
          <w:b w:val="0"/>
          <w:bCs/>
          <w:sz w:val="32"/>
          <w:szCs w:val="32"/>
          <w:lang w:eastAsia="zh-CN"/>
        </w:rPr>
        <w:t>　</w:t>
      </w:r>
      <w:r>
        <w:rPr>
          <w:rFonts w:hint="eastAsia" w:ascii="黑体" w:hAnsi="黑体" w:eastAsia="黑体" w:cs="黑体"/>
          <w:b w:val="0"/>
          <w:bCs/>
          <w:sz w:val="32"/>
          <w:szCs w:val="32"/>
        </w:rPr>
        <w:t>应急保障</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outlineLvl w:val="0"/>
        <w:rPr>
          <w:rFonts w:ascii="仿宋_GB2312" w:eastAsia="仿宋_GB2312"/>
          <w:sz w:val="32"/>
          <w:szCs w:val="32"/>
        </w:rPr>
      </w:pPr>
      <w:r>
        <w:rPr>
          <w:rFonts w:hint="eastAsia" w:ascii="黑体" w:hAnsi="黑体" w:eastAsia="黑体" w:cs="黑体"/>
          <w:b w:val="0"/>
          <w:bCs/>
          <w:sz w:val="32"/>
          <w:szCs w:val="32"/>
        </w:rPr>
        <w:t>第二十四条</w:t>
      </w:r>
      <w:r>
        <w:rPr>
          <w:rFonts w:hint="eastAsia" w:ascii="仿宋_GB2312" w:eastAsia="仿宋_GB2312"/>
          <w:sz w:val="32"/>
          <w:szCs w:val="32"/>
          <w:lang w:eastAsia="zh-CN"/>
        </w:rPr>
        <w:t>　</w:t>
      </w:r>
      <w:r>
        <w:rPr>
          <w:rFonts w:hint="eastAsia" w:ascii="仿宋_GB2312" w:eastAsia="仿宋_GB2312"/>
          <w:sz w:val="32"/>
          <w:szCs w:val="32"/>
        </w:rPr>
        <w:t>广播电视行政部门负责本行政区域内广播电视安全播出突发事件应急管理工作。</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outlineLvl w:val="0"/>
        <w:rPr>
          <w:rFonts w:ascii="仿宋_GB2312" w:eastAsia="仿宋_GB2312"/>
          <w:sz w:val="32"/>
          <w:szCs w:val="32"/>
        </w:rPr>
      </w:pPr>
      <w:r>
        <w:rPr>
          <w:rFonts w:hint="eastAsia" w:ascii="黑体" w:hAnsi="黑体" w:eastAsia="黑体" w:cs="黑体"/>
          <w:b w:val="0"/>
          <w:bCs/>
          <w:sz w:val="32"/>
          <w:szCs w:val="32"/>
        </w:rPr>
        <w:t>第二十五条</w:t>
      </w:r>
      <w:r>
        <w:rPr>
          <w:rFonts w:hint="eastAsia" w:ascii="仿宋_GB2312" w:eastAsia="仿宋_GB2312"/>
          <w:sz w:val="32"/>
          <w:szCs w:val="32"/>
          <w:lang w:eastAsia="zh-CN"/>
        </w:rPr>
        <w:t>　</w:t>
      </w:r>
      <w:r>
        <w:rPr>
          <w:rFonts w:hint="eastAsia" w:ascii="仿宋_GB2312" w:eastAsia="仿宋_GB2312"/>
          <w:sz w:val="32"/>
          <w:szCs w:val="32"/>
        </w:rPr>
        <w:t xml:space="preserve">安全播出责任单位负责本单位安全播出突发事故、事件的应急处置工作，并服从广播电视行政部门的统一管理。  </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outlineLvl w:val="0"/>
        <w:rPr>
          <w:rFonts w:ascii="仿宋_GB2312" w:hAnsi="Arial" w:eastAsia="仿宋_GB2312" w:cs="Arial"/>
          <w:sz w:val="32"/>
          <w:szCs w:val="32"/>
        </w:rPr>
      </w:pPr>
      <w:r>
        <w:rPr>
          <w:rFonts w:hint="eastAsia" w:ascii="黑体" w:hAnsi="黑体" w:eastAsia="黑体" w:cs="黑体"/>
          <w:b w:val="0"/>
          <w:bCs/>
          <w:sz w:val="32"/>
          <w:szCs w:val="32"/>
        </w:rPr>
        <w:t>第二十六条</w:t>
      </w:r>
      <w:r>
        <w:rPr>
          <w:rFonts w:hint="eastAsia" w:ascii="仿宋_GB2312" w:hAnsi="Arial" w:eastAsia="仿宋_GB2312" w:cs="Arial"/>
          <w:sz w:val="32"/>
          <w:szCs w:val="32"/>
          <w:lang w:eastAsia="zh-CN"/>
        </w:rPr>
        <w:t>　</w:t>
      </w:r>
      <w:r>
        <w:rPr>
          <w:rFonts w:hint="eastAsia" w:ascii="仿宋_GB2312" w:hAnsi="Arial" w:eastAsia="仿宋_GB2312" w:cs="Arial"/>
          <w:sz w:val="32"/>
          <w:szCs w:val="32"/>
        </w:rPr>
        <w:t>各级广播电视行政部门应成立应急专家组，制定应急保障预案。</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黑体" w:hAnsi="黑体" w:eastAsia="黑体" w:cs="黑体"/>
          <w:b w:val="0"/>
          <w:bCs/>
          <w:sz w:val="32"/>
          <w:szCs w:val="32"/>
        </w:rPr>
        <w:t>第二十七条</w:t>
      </w:r>
      <w:r>
        <w:rPr>
          <w:rFonts w:hint="eastAsia" w:ascii="仿宋_GB2312" w:hAnsi="Arial" w:eastAsia="仿宋_GB2312" w:cs="Arial"/>
          <w:sz w:val="32"/>
          <w:szCs w:val="32"/>
          <w:lang w:eastAsia="zh-CN"/>
        </w:rPr>
        <w:t>　</w:t>
      </w:r>
      <w:r>
        <w:rPr>
          <w:rFonts w:hint="eastAsia" w:ascii="仿宋_GB2312" w:hAnsi="Arial" w:eastAsia="仿宋_GB2312" w:cs="Arial"/>
          <w:sz w:val="32"/>
          <w:szCs w:val="32"/>
        </w:rPr>
        <w:t>广播电视安全播出责任单位根据应急预案制定具体的应急处置流程，并进行定期演练。同时与专业运行维护团队建立应急响应机制，明确工作范围、职责等。</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黑体" w:hAnsi="黑体" w:eastAsia="黑体" w:cs="黑体"/>
          <w:b w:val="0"/>
          <w:bCs/>
          <w:sz w:val="32"/>
          <w:szCs w:val="32"/>
        </w:rPr>
        <w:t>第二十八条</w:t>
      </w:r>
      <w:r>
        <w:rPr>
          <w:rFonts w:hint="eastAsia" w:ascii="仿宋_GB2312" w:hAnsi="Arial" w:eastAsia="仿宋_GB2312" w:cs="Arial"/>
          <w:sz w:val="32"/>
          <w:szCs w:val="32"/>
          <w:lang w:eastAsia="zh-CN"/>
        </w:rPr>
        <w:t>　</w:t>
      </w:r>
      <w:r>
        <w:rPr>
          <w:rFonts w:hint="eastAsia" w:ascii="仿宋_GB2312" w:hAnsi="Arial" w:eastAsia="仿宋_GB2312" w:cs="Arial"/>
          <w:sz w:val="32"/>
          <w:szCs w:val="32"/>
        </w:rPr>
        <w:t>重大任务应急保障要求：</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仿宋_GB2312" w:hAnsi="Arial" w:eastAsia="仿宋_GB2312" w:cs="Arial"/>
          <w:sz w:val="32"/>
          <w:szCs w:val="32"/>
        </w:rPr>
        <w:t>（一）制定重大任务应急保障预案，预案包括任务前的准备、任务中的保障措施和突发故障、事件的应急处理等内容。</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仿宋_GB2312" w:hAnsi="Arial" w:eastAsia="仿宋_GB2312" w:cs="Arial"/>
          <w:sz w:val="32"/>
          <w:szCs w:val="32"/>
        </w:rPr>
        <w:t xml:space="preserve">（二）成立重大任务应急工作小组，明确小组成员分工。  </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仿宋_GB2312" w:hAnsi="Arial" w:eastAsia="仿宋_GB2312" w:cs="Arial"/>
          <w:sz w:val="32"/>
          <w:szCs w:val="32"/>
        </w:rPr>
        <w:t>（三）做好技术系统的全面检修、测试工作，对备品备件、应急工具进行全面检查并及时补充。</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仿宋_GB2312" w:hAnsi="Arial" w:eastAsia="仿宋_GB2312" w:cs="Arial"/>
          <w:sz w:val="32"/>
          <w:szCs w:val="32"/>
        </w:rPr>
        <w:t>（四）协调电力供应、信号传输、设备生产商、系统集成商等相关单位为重大任务提供保障支持。</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仿宋_GB2312" w:hAnsi="Arial" w:eastAsia="仿宋_GB2312" w:cs="Arial"/>
          <w:sz w:val="32"/>
          <w:szCs w:val="32"/>
        </w:rPr>
        <w:t xml:space="preserve">（五）执行重大任务应急保障时，应配置专业技术人员现场提供保障服务，必要时可邀请专业运行维护团队进行现场指导和技术支持。 </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黑体" w:hAnsi="黑体" w:eastAsia="黑体" w:cs="黑体"/>
          <w:b w:val="0"/>
          <w:bCs/>
          <w:sz w:val="32"/>
          <w:szCs w:val="32"/>
        </w:rPr>
        <w:t>第二十九条</w:t>
      </w:r>
      <w:r>
        <w:rPr>
          <w:rFonts w:hint="eastAsia" w:ascii="仿宋_GB2312" w:hAnsi="Arial" w:eastAsia="仿宋_GB2312" w:cs="Arial"/>
          <w:sz w:val="32"/>
          <w:szCs w:val="32"/>
          <w:lang w:eastAsia="zh-CN"/>
        </w:rPr>
        <w:t>　</w:t>
      </w:r>
      <w:r>
        <w:rPr>
          <w:rFonts w:hint="eastAsia" w:ascii="仿宋_GB2312" w:hAnsi="Arial" w:eastAsia="仿宋_GB2312" w:cs="Arial"/>
          <w:sz w:val="32"/>
          <w:szCs w:val="32"/>
        </w:rPr>
        <w:t>突发事件应急保障要求：</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仿宋_GB2312" w:hAnsi="Arial" w:eastAsia="仿宋_GB2312" w:cs="Arial"/>
          <w:sz w:val="32"/>
          <w:szCs w:val="32"/>
        </w:rPr>
        <w:t>（一）制订突发事件应急预案，包括：供配电故障应急预案、非法破坏事件应急预案、自然灾害应急预案、网络安全应急预案、信号保障应急预案、发射机故障应急预案、IPTV安全播出预案以及其他突发事件应急预案等，报</w:t>
      </w:r>
      <w:r>
        <w:rPr>
          <w:rFonts w:hint="eastAsia" w:ascii="仿宋_GB2312" w:hAnsi="Arial" w:eastAsia="仿宋_GB2312" w:cs="Arial"/>
          <w:sz w:val="32"/>
          <w:szCs w:val="32"/>
          <w:lang w:eastAsia="zh-CN"/>
        </w:rPr>
        <w:t>本</w:t>
      </w:r>
      <w:r>
        <w:rPr>
          <w:rFonts w:hint="eastAsia" w:ascii="仿宋_GB2312" w:hAnsi="Arial" w:eastAsia="仿宋_GB2312" w:cs="Arial"/>
          <w:sz w:val="32"/>
          <w:szCs w:val="32"/>
        </w:rPr>
        <w:t>级主管行政部门备案。</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仿宋_GB2312" w:hAnsi="Arial" w:eastAsia="仿宋_GB2312" w:cs="Arial"/>
          <w:sz w:val="32"/>
          <w:szCs w:val="32"/>
        </w:rPr>
        <w:t>（二）突发事件发生后，应成立突发事件应急工作小组，根据应急预案开展工作。</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仿宋_GB2312" w:hAnsi="Arial" w:eastAsia="仿宋_GB2312" w:cs="Arial"/>
          <w:sz w:val="32"/>
          <w:szCs w:val="32"/>
        </w:rPr>
        <w:t>（三）定期组织应急预案演练（每年不少于两次），并对应急演练过程进行分析和评估，不断完善应急预案。</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仿宋_GB2312" w:hAnsi="Arial" w:eastAsia="仿宋_GB2312" w:cs="Arial"/>
          <w:sz w:val="32"/>
          <w:szCs w:val="32"/>
        </w:rPr>
        <w:t>（四）遇到运行维护人员无法解决的问题，应及时联络专业运行维护团队予以解决。</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黑体" w:hAnsi="黑体" w:eastAsia="黑体" w:cs="黑体"/>
          <w:b w:val="0"/>
          <w:bCs/>
          <w:sz w:val="32"/>
          <w:szCs w:val="32"/>
        </w:rPr>
        <w:t>第三十条</w:t>
      </w:r>
      <w:r>
        <w:rPr>
          <w:rFonts w:hint="eastAsia" w:ascii="仿宋_GB2312" w:hAnsi="Arial" w:eastAsia="仿宋_GB2312" w:cs="Arial"/>
          <w:sz w:val="32"/>
          <w:szCs w:val="32"/>
          <w:lang w:eastAsia="zh-CN"/>
        </w:rPr>
        <w:t>　</w:t>
      </w:r>
      <w:r>
        <w:rPr>
          <w:rFonts w:hint="eastAsia" w:ascii="仿宋_GB2312" w:hAnsi="Arial" w:eastAsia="仿宋_GB2312" w:cs="Arial"/>
          <w:sz w:val="32"/>
          <w:szCs w:val="32"/>
        </w:rPr>
        <w:t>应急保障事件处置结束后做好原因分析、总结，并形成记录文件。</w:t>
      </w:r>
    </w:p>
    <w:p>
      <w:pPr>
        <w:keepNext w:val="0"/>
        <w:keepLines w:val="0"/>
        <w:pageBreakBefore w:val="0"/>
        <w:kinsoku/>
        <w:wordWrap/>
        <w:overflowPunct/>
        <w:topLinePunct w:val="0"/>
        <w:autoSpaceDE/>
        <w:autoSpaceDN/>
        <w:bidi w:val="0"/>
        <w:adjustRightInd/>
        <w:snapToGrid/>
        <w:spacing w:line="560" w:lineRule="exact"/>
        <w:ind w:left="16" w:hanging="16" w:hangingChars="5"/>
        <w:contextualSpacing/>
        <w:jc w:val="center"/>
        <w:textAlignment w:val="auto"/>
        <w:outlineLvl w:val="0"/>
        <w:rPr>
          <w:rFonts w:hint="eastAsia" w:ascii="黑体" w:hAnsi="黑体" w:eastAsia="黑体" w:cs="黑体"/>
          <w:b w:val="0"/>
          <w:bCs/>
          <w:sz w:val="32"/>
          <w:szCs w:val="32"/>
        </w:rPr>
      </w:pPr>
      <w:r>
        <w:rPr>
          <w:rFonts w:hint="eastAsia" w:ascii="黑体" w:hAnsi="黑体" w:eastAsia="黑体" w:cs="黑体"/>
          <w:b w:val="0"/>
          <w:bCs/>
          <w:sz w:val="32"/>
          <w:szCs w:val="32"/>
        </w:rPr>
        <w:t>第七章</w:t>
      </w:r>
      <w:r>
        <w:rPr>
          <w:rFonts w:hint="eastAsia" w:ascii="黑体" w:hAnsi="黑体" w:eastAsia="黑体" w:cs="黑体"/>
          <w:b w:val="0"/>
          <w:bCs/>
          <w:sz w:val="32"/>
          <w:szCs w:val="32"/>
          <w:lang w:eastAsia="zh-CN"/>
        </w:rPr>
        <w:t>　</w:t>
      </w:r>
      <w:r>
        <w:rPr>
          <w:rFonts w:hint="eastAsia" w:ascii="黑体" w:hAnsi="黑体" w:eastAsia="黑体" w:cs="黑体"/>
          <w:b w:val="0"/>
          <w:bCs/>
          <w:sz w:val="32"/>
          <w:szCs w:val="32"/>
        </w:rPr>
        <w:t>事件事故处理</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黑体" w:hAnsi="黑体" w:eastAsia="黑体" w:cs="黑体"/>
          <w:b w:val="0"/>
          <w:bCs/>
          <w:sz w:val="32"/>
          <w:szCs w:val="32"/>
        </w:rPr>
        <w:t>第三十一条</w:t>
      </w:r>
      <w:r>
        <w:rPr>
          <w:rFonts w:hint="eastAsia" w:ascii="黑体" w:hAnsi="黑体" w:eastAsia="黑体" w:cs="黑体"/>
          <w:b w:val="0"/>
          <w:bCs/>
          <w:sz w:val="32"/>
          <w:szCs w:val="32"/>
          <w:lang w:eastAsia="zh-CN"/>
        </w:rPr>
        <w:t>　</w:t>
      </w:r>
      <w:r>
        <w:rPr>
          <w:rFonts w:hint="eastAsia" w:ascii="仿宋_GB2312" w:hAnsi="Arial" w:eastAsia="仿宋_GB2312" w:cs="Arial"/>
          <w:sz w:val="32"/>
          <w:szCs w:val="32"/>
        </w:rPr>
        <w:t>发生安全播出事件、事故后，安全播出责任单位应立即按照相关预案采取有效措施，防止事件、事故扩大。</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黑体" w:hAnsi="黑体" w:eastAsia="黑体" w:cs="黑体"/>
          <w:b w:val="0"/>
          <w:bCs/>
          <w:sz w:val="32"/>
          <w:szCs w:val="32"/>
        </w:rPr>
        <w:t>第三十二条</w:t>
      </w:r>
      <w:r>
        <w:rPr>
          <w:rFonts w:hint="eastAsia" w:ascii="黑体" w:hAnsi="黑体" w:eastAsia="黑体" w:cs="黑体"/>
          <w:b w:val="0"/>
          <w:bCs/>
          <w:sz w:val="32"/>
          <w:szCs w:val="32"/>
          <w:lang w:eastAsia="zh-CN"/>
        </w:rPr>
        <w:t>　</w:t>
      </w:r>
      <w:r>
        <w:rPr>
          <w:rFonts w:hint="eastAsia" w:ascii="仿宋_GB2312" w:hAnsi="Arial" w:eastAsia="仿宋_GB2312" w:cs="Arial"/>
          <w:sz w:val="32"/>
          <w:szCs w:val="32"/>
        </w:rPr>
        <w:t>安全播出责任单位按照《安全播出事件事故管理实施细则（暂行）》要求报告相关部门。</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黑体" w:hAnsi="黑体" w:eastAsia="黑体" w:cs="黑体"/>
          <w:b w:val="0"/>
          <w:bCs/>
          <w:sz w:val="32"/>
          <w:szCs w:val="32"/>
        </w:rPr>
        <w:t>第三十三条</w:t>
      </w:r>
      <w:r>
        <w:rPr>
          <w:rFonts w:hint="eastAsia" w:ascii="仿宋_GB2312" w:hAnsi="Arial" w:eastAsia="仿宋_GB2312" w:cs="Arial"/>
          <w:sz w:val="32"/>
          <w:szCs w:val="32"/>
          <w:lang w:eastAsia="zh-CN"/>
        </w:rPr>
        <w:t>　</w:t>
      </w:r>
      <w:r>
        <w:rPr>
          <w:rFonts w:hint="eastAsia" w:ascii="仿宋_GB2312" w:hAnsi="Arial" w:eastAsia="仿宋_GB2312" w:cs="Arial"/>
          <w:sz w:val="32"/>
          <w:szCs w:val="32"/>
        </w:rPr>
        <w:t>对需要报总局的安全播出较大事件、重大事故，省监测台应在事件、事故发生2小时内，通过总局安全播出事件事故管理系统填报有关情况，12小时内向总局监测监管部门报简要书面报告，24小时内报送详细书面报告。</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黑体" w:hAnsi="黑体" w:eastAsia="黑体" w:cs="黑体"/>
          <w:b w:val="0"/>
          <w:bCs/>
          <w:sz w:val="32"/>
          <w:szCs w:val="32"/>
        </w:rPr>
        <w:t>第三十四条</w:t>
      </w:r>
      <w:r>
        <w:rPr>
          <w:rFonts w:hint="eastAsia" w:ascii="仿宋_GB2312" w:hAnsi="Arial" w:eastAsia="仿宋_GB2312" w:cs="Arial"/>
          <w:sz w:val="32"/>
          <w:szCs w:val="32"/>
          <w:lang w:eastAsia="zh-CN"/>
        </w:rPr>
        <w:t>　</w:t>
      </w:r>
      <w:r>
        <w:rPr>
          <w:rFonts w:hint="eastAsia" w:ascii="仿宋_GB2312" w:hAnsi="Arial" w:eastAsia="仿宋_GB2312" w:cs="Arial"/>
          <w:sz w:val="32"/>
          <w:szCs w:val="32"/>
        </w:rPr>
        <w:t>市级广播电视监测分中心在监测、接报事件事故后，应核实事件事故有关情况，及时报告本级广播电视行政部门，并根据事件事故的影响程度提交书面报告。</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黑体" w:hAnsi="黑体" w:eastAsia="黑体" w:cs="黑体"/>
          <w:b w:val="0"/>
          <w:bCs/>
          <w:sz w:val="32"/>
          <w:szCs w:val="32"/>
        </w:rPr>
        <w:t>第三十五条</w:t>
      </w:r>
      <w:r>
        <w:rPr>
          <w:rFonts w:hint="eastAsia" w:ascii="黑体" w:hAnsi="黑体" w:eastAsia="黑体" w:cs="黑体"/>
          <w:b w:val="0"/>
          <w:bCs/>
          <w:sz w:val="32"/>
          <w:szCs w:val="32"/>
          <w:lang w:eastAsia="zh-CN"/>
        </w:rPr>
        <w:t>　</w:t>
      </w:r>
      <w:r>
        <w:rPr>
          <w:rFonts w:hint="eastAsia" w:ascii="仿宋_GB2312" w:hAnsi="Arial" w:eastAsia="仿宋_GB2312" w:cs="Arial"/>
          <w:sz w:val="32"/>
          <w:szCs w:val="32"/>
        </w:rPr>
        <w:t>省广电局对安全播出重大事件、特别重大事件和特大事故，应在事件、事故发生4小时内向总局报简要书面报告，12小时内报送详细书面报告。</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黑体" w:hAnsi="黑体" w:eastAsia="黑体" w:cs="黑体"/>
          <w:b w:val="0"/>
          <w:bCs/>
          <w:sz w:val="32"/>
          <w:szCs w:val="32"/>
        </w:rPr>
        <w:t>第三十六条</w:t>
      </w:r>
      <w:r>
        <w:rPr>
          <w:rFonts w:hint="eastAsia" w:ascii="黑体" w:hAnsi="黑体" w:eastAsia="黑体" w:cs="黑体"/>
          <w:b w:val="0"/>
          <w:bCs/>
          <w:sz w:val="32"/>
          <w:szCs w:val="32"/>
          <w:lang w:eastAsia="zh-CN"/>
        </w:rPr>
        <w:t>　</w:t>
      </w:r>
      <w:r>
        <w:rPr>
          <w:rFonts w:hint="eastAsia" w:ascii="仿宋_GB2312" w:hAnsi="Arial" w:eastAsia="仿宋_GB2312" w:cs="Arial"/>
          <w:sz w:val="32"/>
          <w:szCs w:val="32"/>
        </w:rPr>
        <w:t>事件、事故书面报告应说明事件、事故发生时间、地点、受影响的频率（频道）、节目、设备、停播时长，发生和处理详细过程，包括起因、性质、造成的损失等，必要时应附有关部门的鉴定意见，并总结经验教训，提出事件、事故的处理意见和改进措施。</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黑体" w:hAnsi="黑体" w:eastAsia="黑体" w:cs="黑体"/>
          <w:b w:val="0"/>
          <w:bCs/>
          <w:sz w:val="32"/>
          <w:szCs w:val="32"/>
        </w:rPr>
        <w:t>第三十七条</w:t>
      </w:r>
      <w:r>
        <w:rPr>
          <w:rFonts w:hint="eastAsia" w:ascii="黑体" w:hAnsi="黑体" w:eastAsia="黑体" w:cs="黑体"/>
          <w:b w:val="0"/>
          <w:bCs/>
          <w:sz w:val="32"/>
          <w:szCs w:val="32"/>
          <w:lang w:eastAsia="zh-CN"/>
        </w:rPr>
        <w:t>　</w:t>
      </w:r>
      <w:r>
        <w:rPr>
          <w:rFonts w:hint="eastAsia" w:ascii="仿宋_GB2312" w:hAnsi="Arial" w:eastAsia="仿宋_GB2312" w:cs="Arial"/>
          <w:sz w:val="32"/>
          <w:szCs w:val="32"/>
        </w:rPr>
        <w:t>各报告单位应根据事态进展随时报告事件、事故排查和处理情况，如发现报告的事件、事故信息有误，应及时予以纠正。</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黑体" w:hAnsi="黑体" w:eastAsia="黑体" w:cs="黑体"/>
          <w:b w:val="0"/>
          <w:bCs/>
          <w:sz w:val="32"/>
          <w:szCs w:val="32"/>
        </w:rPr>
        <w:t>第三十八条</w:t>
      </w:r>
      <w:r>
        <w:rPr>
          <w:rFonts w:hint="eastAsia" w:ascii="仿宋_GB2312" w:hAnsi="Arial" w:eastAsia="仿宋_GB2312" w:cs="Arial"/>
          <w:sz w:val="32"/>
          <w:szCs w:val="32"/>
          <w:lang w:eastAsia="zh-CN"/>
        </w:rPr>
        <w:t>　</w:t>
      </w:r>
      <w:r>
        <w:rPr>
          <w:rFonts w:hint="eastAsia" w:ascii="仿宋_GB2312" w:hAnsi="Arial" w:eastAsia="仿宋_GB2312" w:cs="Arial"/>
          <w:sz w:val="32"/>
          <w:szCs w:val="32"/>
        </w:rPr>
        <w:t>发生安全播出重大事件、特别重大事件和特大事故，省级广播电视行政部门应根据总局要求组织开展相关事件、事故调查，相关责任单位应积极配合。事件、事故涉及人员责任的，应查明导致事件、事故发生和处置不当的直接责任人、间接责任人及相关人员责任。</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黑体" w:hAnsi="黑体" w:eastAsia="黑体" w:cs="黑体"/>
          <w:b w:val="0"/>
          <w:bCs/>
          <w:sz w:val="32"/>
          <w:szCs w:val="32"/>
        </w:rPr>
        <w:t>第三十九条</w:t>
      </w:r>
      <w:r>
        <w:rPr>
          <w:rFonts w:hint="eastAsia" w:ascii="黑体" w:hAnsi="黑体" w:eastAsia="黑体" w:cs="黑体"/>
          <w:b w:val="0"/>
          <w:bCs/>
          <w:sz w:val="32"/>
          <w:szCs w:val="32"/>
          <w:lang w:eastAsia="zh-CN"/>
        </w:rPr>
        <w:t>　</w:t>
      </w:r>
      <w:r>
        <w:rPr>
          <w:rFonts w:hint="eastAsia" w:ascii="仿宋_GB2312" w:hAnsi="Arial" w:eastAsia="仿宋_GB2312" w:cs="Arial"/>
          <w:sz w:val="32"/>
          <w:szCs w:val="32"/>
        </w:rPr>
        <w:t>广播电视设施受损案件信息报送和处置要求：</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仿宋_GB2312" w:hAnsi="Arial" w:eastAsia="仿宋_GB2312" w:cs="Arial"/>
          <w:sz w:val="32"/>
          <w:szCs w:val="32"/>
        </w:rPr>
        <w:t>（一）可能影响市级及以上的广播电视安全播出的设施受损案件，应在事故发生后第一时间电话报告省广电局，12小时内报送详细书面报告；影响范围和程度较小的其他类型广播电视受损案件按照季度填报。</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仿宋_GB2312" w:hAnsi="Arial" w:eastAsia="仿宋_GB2312" w:cs="Arial"/>
          <w:sz w:val="32"/>
          <w:szCs w:val="32"/>
        </w:rPr>
        <w:t>（二）及时启用备份设备，恢复受损广播电视设施功能，将安全播出工作的影响降到最低。</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仿宋_GB2312" w:hAnsi="Arial" w:eastAsia="仿宋_GB2312" w:cs="Arial"/>
          <w:sz w:val="32"/>
          <w:szCs w:val="32"/>
        </w:rPr>
        <w:t>（三）联合公安机关打击损坏广播电视设施的责任单位和个人。</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仿宋_GB2312" w:hAnsi="Arial" w:eastAsia="仿宋_GB2312" w:cs="Arial"/>
          <w:sz w:val="32"/>
          <w:szCs w:val="32"/>
        </w:rPr>
        <w:t>（四）按照行业标准，重新建设广播电视设施。</w:t>
      </w:r>
    </w:p>
    <w:p>
      <w:pPr>
        <w:keepNext w:val="0"/>
        <w:keepLines w:val="0"/>
        <w:pageBreakBefore w:val="0"/>
        <w:kinsoku/>
        <w:wordWrap/>
        <w:overflowPunct/>
        <w:topLinePunct w:val="0"/>
        <w:autoSpaceDE/>
        <w:autoSpaceDN/>
        <w:bidi w:val="0"/>
        <w:adjustRightInd/>
        <w:snapToGrid/>
        <w:spacing w:line="560" w:lineRule="exact"/>
        <w:ind w:left="16" w:hanging="16" w:hangingChars="5"/>
        <w:contextualSpacing/>
        <w:jc w:val="center"/>
        <w:textAlignment w:val="auto"/>
        <w:outlineLvl w:val="0"/>
        <w:rPr>
          <w:rFonts w:hint="eastAsia" w:ascii="黑体" w:hAnsi="黑体" w:eastAsia="黑体" w:cs="黑体"/>
          <w:b w:val="0"/>
          <w:bCs/>
          <w:sz w:val="32"/>
          <w:szCs w:val="32"/>
        </w:rPr>
      </w:pPr>
      <w:r>
        <w:rPr>
          <w:rFonts w:hint="eastAsia" w:ascii="黑体" w:hAnsi="黑体" w:eastAsia="黑体" w:cs="黑体"/>
          <w:b w:val="0"/>
          <w:bCs/>
          <w:sz w:val="32"/>
          <w:szCs w:val="32"/>
        </w:rPr>
        <w:t>第八章</w:t>
      </w:r>
      <w:r>
        <w:rPr>
          <w:rFonts w:hint="eastAsia" w:ascii="黑体" w:hAnsi="黑体" w:eastAsia="黑体" w:cs="黑体"/>
          <w:b w:val="0"/>
          <w:bCs/>
          <w:sz w:val="32"/>
          <w:szCs w:val="32"/>
          <w:lang w:eastAsia="zh-CN"/>
        </w:rPr>
        <w:t>　</w:t>
      </w:r>
      <w:r>
        <w:rPr>
          <w:rFonts w:hint="eastAsia" w:ascii="黑体" w:hAnsi="黑体" w:eastAsia="黑体" w:cs="黑体"/>
          <w:b w:val="0"/>
          <w:bCs/>
          <w:sz w:val="32"/>
          <w:szCs w:val="32"/>
        </w:rPr>
        <w:t>奖惩</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黑体" w:hAnsi="黑体" w:eastAsia="黑体" w:cs="黑体"/>
          <w:b w:val="0"/>
          <w:bCs/>
          <w:sz w:val="32"/>
          <w:szCs w:val="32"/>
        </w:rPr>
        <w:t>第四十条</w:t>
      </w:r>
      <w:r>
        <w:rPr>
          <w:rFonts w:hint="eastAsia" w:ascii="仿宋_GB2312" w:hAnsi="Arial" w:eastAsia="仿宋_GB2312" w:cs="Arial"/>
          <w:sz w:val="32"/>
          <w:szCs w:val="32"/>
          <w:lang w:eastAsia="zh-CN"/>
        </w:rPr>
        <w:t>　</w:t>
      </w:r>
      <w:r>
        <w:rPr>
          <w:rFonts w:hint="eastAsia" w:ascii="仿宋_GB2312" w:hAnsi="Arial" w:eastAsia="仿宋_GB2312" w:cs="Arial"/>
          <w:sz w:val="32"/>
          <w:szCs w:val="32"/>
        </w:rPr>
        <w:t>各级广电行政部门、安全播出责任单位应落实安全播出专项资金，组织安全播出培训，建立奖惩制度，对在广播电视安全播出和设施保护工作中做出显著成绩的组织、个人按规定给予表彰、奖励或进行表扬。</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黑体" w:hAnsi="黑体" w:eastAsia="黑体" w:cs="黑体"/>
          <w:b w:val="0"/>
          <w:bCs/>
          <w:sz w:val="32"/>
          <w:szCs w:val="32"/>
        </w:rPr>
        <w:t>第四十一条</w:t>
      </w:r>
      <w:r>
        <w:rPr>
          <w:rFonts w:hint="eastAsia" w:ascii="仿宋_GB2312" w:hAnsi="Arial" w:eastAsia="仿宋_GB2312" w:cs="Arial"/>
          <w:sz w:val="32"/>
          <w:szCs w:val="32"/>
          <w:lang w:eastAsia="zh-CN"/>
        </w:rPr>
        <w:t>　</w:t>
      </w:r>
      <w:r>
        <w:rPr>
          <w:rFonts w:hint="eastAsia" w:ascii="仿宋_GB2312" w:hAnsi="Arial" w:eastAsia="仿宋_GB2312" w:cs="Arial"/>
          <w:sz w:val="32"/>
          <w:szCs w:val="32"/>
        </w:rPr>
        <w:t>安全播出责任单位出现安全播出停播责任事故和设施保护责任事故，依据有关法律法规对有关单位和人员给予处分；构成犯罪的，依法追究刑事责任。</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黑体" w:hAnsi="黑体" w:eastAsia="黑体" w:cs="黑体"/>
          <w:b w:val="0"/>
          <w:bCs/>
          <w:sz w:val="32"/>
          <w:szCs w:val="32"/>
        </w:rPr>
        <w:t>第四十二条</w:t>
      </w:r>
      <w:r>
        <w:rPr>
          <w:rFonts w:hint="eastAsia" w:ascii="黑体" w:hAnsi="黑体" w:eastAsia="黑体" w:cs="黑体"/>
          <w:b w:val="0"/>
          <w:bCs/>
          <w:sz w:val="32"/>
          <w:szCs w:val="32"/>
          <w:lang w:eastAsia="zh-CN"/>
        </w:rPr>
        <w:t>　</w:t>
      </w:r>
      <w:r>
        <w:rPr>
          <w:rFonts w:hint="eastAsia" w:ascii="仿宋_GB2312" w:hAnsi="Arial" w:eastAsia="仿宋_GB2312" w:cs="Arial"/>
          <w:sz w:val="32"/>
          <w:szCs w:val="32"/>
        </w:rPr>
        <w:t>对不及时修订预案和组织开展演练，迟报、谎报、瞒报和漏报安全播出和设施损毁事件重要情况或者应急管理工作中有失职、渎职行为的单位和人员依法依规追究责任。</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黑体" w:hAnsi="黑体" w:eastAsia="黑体" w:cs="黑体"/>
          <w:b w:val="0"/>
          <w:bCs/>
          <w:sz w:val="32"/>
          <w:szCs w:val="32"/>
        </w:rPr>
        <w:t>第四十三条</w:t>
      </w:r>
      <w:r>
        <w:rPr>
          <w:rFonts w:hint="eastAsia" w:ascii="黑体" w:hAnsi="黑体" w:eastAsia="黑体" w:cs="黑体"/>
          <w:b w:val="0"/>
          <w:bCs/>
          <w:sz w:val="32"/>
          <w:szCs w:val="32"/>
          <w:lang w:eastAsia="zh-CN"/>
        </w:rPr>
        <w:t>　</w:t>
      </w:r>
      <w:r>
        <w:rPr>
          <w:rFonts w:hint="eastAsia" w:ascii="仿宋_GB2312" w:hAnsi="Arial" w:eastAsia="仿宋_GB2312" w:cs="Arial"/>
          <w:sz w:val="32"/>
          <w:szCs w:val="32"/>
        </w:rPr>
        <w:t>发生特大、重大事故和事件，广播电视行政部门根据情况性质给予通报、下达整改通知或约谈安全播出责任单位主要负责人。发生一般事故，由市、县广播电视行政主管部门给予下达整改通知，根据情况对单位主要负责人进行约谈。</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黑体" w:hAnsi="黑体" w:eastAsia="黑体" w:cs="黑体"/>
          <w:b w:val="0"/>
          <w:bCs/>
          <w:sz w:val="32"/>
          <w:szCs w:val="32"/>
        </w:rPr>
        <w:t>第四十四条</w:t>
      </w:r>
      <w:r>
        <w:rPr>
          <w:rFonts w:hint="eastAsia" w:ascii="仿宋_GB2312" w:hAnsi="Arial" w:eastAsia="仿宋_GB2312" w:cs="Arial"/>
          <w:sz w:val="32"/>
          <w:szCs w:val="32"/>
          <w:lang w:eastAsia="zh-CN"/>
        </w:rPr>
        <w:t>　</w:t>
      </w:r>
      <w:r>
        <w:rPr>
          <w:rFonts w:hint="eastAsia" w:ascii="仿宋_GB2312" w:hAnsi="Arial" w:eastAsia="仿宋_GB2312" w:cs="Arial"/>
          <w:sz w:val="32"/>
          <w:szCs w:val="32"/>
        </w:rPr>
        <w:t>广播电视行政部门及其工作人员在广播电视安全播出和设施保护管理工作中滥用职权、玩忽职守、徇私舞弊，构成犯罪的，应依法追究刑事责任；尚不构成犯罪的，应依法依纪给予处分。</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contextualSpacing/>
        <w:jc w:val="both"/>
        <w:textAlignment w:val="auto"/>
        <w:rPr>
          <w:rFonts w:ascii="仿宋_GB2312" w:hAnsi="Arial" w:eastAsia="仿宋_GB2312" w:cs="Arial"/>
          <w:sz w:val="32"/>
          <w:szCs w:val="32"/>
        </w:rPr>
      </w:pPr>
      <w:r>
        <w:rPr>
          <w:rFonts w:hint="eastAsia" w:ascii="仿宋_GB2312" w:hAnsi="Arial" w:eastAsia="仿宋_GB2312" w:cs="Arial"/>
          <w:sz w:val="32"/>
          <w:szCs w:val="32"/>
        </w:rPr>
        <w:t>本规定自发布之日起执行。</w:t>
      </w:r>
    </w:p>
    <w:p>
      <w:pPr>
        <w:rPr>
          <w:rFonts w:hint="default" w:ascii="仿宋_GB2312" w:eastAsia="仿宋_GB2312"/>
          <w:sz w:val="32"/>
          <w:szCs w:val="32"/>
          <w:lang w:val="en-US" w:eastAsia="zh-CN"/>
        </w:rPr>
      </w:pPr>
    </w:p>
    <w:p>
      <w:pPr>
        <w:spacing w:line="579" w:lineRule="exact"/>
        <w:ind w:firstLine="4960" w:firstLineChars="1550"/>
        <w:rPr>
          <w:rFonts w:hint="eastAsia" w:ascii="仿宋_GB2312" w:eastAsia="仿宋_GB2312"/>
          <w:sz w:val="32"/>
          <w:szCs w:val="32"/>
        </w:rPr>
      </w:pPr>
    </w:p>
    <w:p>
      <w:pPr>
        <w:adjustRightInd w:val="0"/>
        <w:snapToGrid w:val="0"/>
        <w:spacing w:line="592" w:lineRule="exact"/>
        <w:rPr>
          <w:rFonts w:hint="eastAsia" w:eastAsia="仿宋_GB2312"/>
          <w:sz w:val="32"/>
          <w:szCs w:val="32"/>
        </w:rPr>
      </w:pPr>
    </w:p>
    <w:p>
      <w:pPr>
        <w:adjustRightInd w:val="0"/>
        <w:snapToGrid w:val="0"/>
        <w:spacing w:line="592" w:lineRule="exact"/>
        <w:rPr>
          <w:rFonts w:hint="eastAsia" w:eastAsia="仿宋_GB2312"/>
          <w:sz w:val="32"/>
          <w:szCs w:val="32"/>
        </w:rPr>
      </w:pPr>
    </w:p>
    <w:p>
      <w:pPr>
        <w:adjustRightInd w:val="0"/>
        <w:snapToGrid w:val="0"/>
        <w:spacing w:line="592" w:lineRule="exact"/>
        <w:rPr>
          <w:rFonts w:hint="eastAsia" w:eastAsia="仿宋_GB2312"/>
          <w:sz w:val="32"/>
          <w:szCs w:val="32"/>
        </w:rPr>
      </w:pPr>
    </w:p>
    <w:p>
      <w:pPr>
        <w:adjustRightInd w:val="0"/>
        <w:snapToGrid w:val="0"/>
        <w:spacing w:line="592" w:lineRule="exact"/>
        <w:rPr>
          <w:rFonts w:hint="eastAsia" w:eastAsia="仿宋_GB2312"/>
          <w:sz w:val="32"/>
          <w:szCs w:val="32"/>
        </w:rPr>
      </w:pPr>
    </w:p>
    <w:p>
      <w:pPr>
        <w:adjustRightInd w:val="0"/>
        <w:snapToGrid w:val="0"/>
        <w:spacing w:line="592" w:lineRule="exact"/>
        <w:rPr>
          <w:rFonts w:hint="eastAsia" w:eastAsia="仿宋_GB2312"/>
          <w:sz w:val="32"/>
          <w:szCs w:val="32"/>
        </w:rPr>
      </w:pPr>
    </w:p>
    <w:p>
      <w:pPr>
        <w:adjustRightInd w:val="0"/>
        <w:snapToGrid w:val="0"/>
        <w:spacing w:line="592" w:lineRule="exact"/>
        <w:rPr>
          <w:rFonts w:hint="eastAsia" w:eastAsia="仿宋_GB2312"/>
          <w:sz w:val="32"/>
          <w:szCs w:val="32"/>
        </w:rPr>
        <w:sectPr>
          <w:footerReference r:id="rId3" w:type="default"/>
          <w:pgSz w:w="11906" w:h="16838"/>
          <w:pgMar w:top="1701" w:right="1531" w:bottom="1440" w:left="1531" w:header="851" w:footer="992" w:gutter="0"/>
          <w:pgNumType w:fmt="numberInDash"/>
          <w:cols w:space="425" w:num="1"/>
          <w:docGrid w:type="lines" w:linePitch="312" w:charSpace="0"/>
        </w:sectPr>
      </w:pPr>
    </w:p>
    <w:p>
      <w:pPr>
        <w:adjustRightInd w:val="0"/>
        <w:snapToGrid w:val="0"/>
        <w:spacing w:line="592" w:lineRule="exact"/>
        <w:rPr>
          <w:rFonts w:hint="eastAsia" w:eastAsia="仿宋_GB2312"/>
          <w:sz w:val="32"/>
          <w:szCs w:val="32"/>
        </w:rPr>
      </w:pPr>
    </w:p>
    <w:p>
      <w:pPr>
        <w:adjustRightInd w:val="0"/>
        <w:snapToGrid w:val="0"/>
        <w:spacing w:line="592" w:lineRule="exact"/>
        <w:rPr>
          <w:rFonts w:hint="eastAsia" w:eastAsia="仿宋_GB2312"/>
          <w:sz w:val="32"/>
          <w:szCs w:val="32"/>
        </w:rPr>
      </w:pPr>
    </w:p>
    <w:p>
      <w:pPr>
        <w:adjustRightInd w:val="0"/>
        <w:snapToGrid w:val="0"/>
        <w:spacing w:line="592" w:lineRule="exact"/>
        <w:rPr>
          <w:rFonts w:hint="eastAsia" w:eastAsia="仿宋_GB2312"/>
          <w:sz w:val="32"/>
          <w:szCs w:val="32"/>
        </w:rPr>
      </w:pPr>
    </w:p>
    <w:p>
      <w:pPr>
        <w:adjustRightInd w:val="0"/>
        <w:snapToGrid w:val="0"/>
        <w:spacing w:line="592" w:lineRule="exact"/>
        <w:rPr>
          <w:rFonts w:hint="eastAsia" w:eastAsia="仿宋_GB2312"/>
          <w:sz w:val="32"/>
          <w:szCs w:val="32"/>
        </w:rPr>
      </w:pPr>
    </w:p>
    <w:p>
      <w:pPr>
        <w:adjustRightInd w:val="0"/>
        <w:snapToGrid w:val="0"/>
        <w:spacing w:line="592" w:lineRule="exact"/>
        <w:rPr>
          <w:rFonts w:hint="eastAsia" w:eastAsia="仿宋_GB2312"/>
          <w:sz w:val="32"/>
          <w:szCs w:val="32"/>
        </w:rPr>
      </w:pPr>
    </w:p>
    <w:p>
      <w:pPr>
        <w:adjustRightInd w:val="0"/>
        <w:snapToGrid w:val="0"/>
        <w:spacing w:line="592" w:lineRule="exact"/>
        <w:rPr>
          <w:rFonts w:hint="eastAsia" w:eastAsia="仿宋_GB2312"/>
          <w:sz w:val="32"/>
          <w:szCs w:val="32"/>
        </w:rPr>
      </w:pPr>
    </w:p>
    <w:p>
      <w:pPr>
        <w:adjustRightInd w:val="0"/>
        <w:snapToGrid w:val="0"/>
        <w:spacing w:line="592" w:lineRule="exact"/>
        <w:rPr>
          <w:rFonts w:hint="eastAsia" w:eastAsia="仿宋_GB2312"/>
          <w:sz w:val="32"/>
          <w:szCs w:val="32"/>
        </w:rPr>
      </w:pPr>
    </w:p>
    <w:p>
      <w:pPr>
        <w:adjustRightInd w:val="0"/>
        <w:snapToGrid w:val="0"/>
        <w:spacing w:line="592" w:lineRule="exact"/>
        <w:rPr>
          <w:rFonts w:hint="eastAsia" w:eastAsia="仿宋_GB2312"/>
          <w:sz w:val="32"/>
          <w:szCs w:val="32"/>
        </w:rPr>
      </w:pPr>
    </w:p>
    <w:p>
      <w:pPr>
        <w:adjustRightInd w:val="0"/>
        <w:snapToGrid w:val="0"/>
        <w:spacing w:line="592" w:lineRule="exact"/>
        <w:rPr>
          <w:rFonts w:hint="eastAsia" w:eastAsia="仿宋_GB2312"/>
          <w:sz w:val="32"/>
          <w:szCs w:val="32"/>
        </w:rPr>
      </w:pPr>
    </w:p>
    <w:p>
      <w:pPr>
        <w:adjustRightInd w:val="0"/>
        <w:snapToGrid w:val="0"/>
        <w:spacing w:line="592" w:lineRule="exact"/>
        <w:rPr>
          <w:rFonts w:hint="eastAsia" w:eastAsia="仿宋_GB2312"/>
          <w:sz w:val="32"/>
          <w:szCs w:val="32"/>
        </w:rPr>
      </w:pPr>
    </w:p>
    <w:p>
      <w:pPr>
        <w:adjustRightInd w:val="0"/>
        <w:snapToGrid w:val="0"/>
        <w:spacing w:line="592" w:lineRule="exact"/>
        <w:rPr>
          <w:rFonts w:hint="eastAsia" w:eastAsia="仿宋_GB2312"/>
          <w:sz w:val="32"/>
          <w:szCs w:val="32"/>
        </w:rPr>
      </w:pPr>
    </w:p>
    <w:p>
      <w:pPr>
        <w:adjustRightInd w:val="0"/>
        <w:snapToGrid w:val="0"/>
        <w:spacing w:line="592" w:lineRule="exact"/>
        <w:rPr>
          <w:rFonts w:hint="eastAsia" w:eastAsia="仿宋_GB2312"/>
          <w:sz w:val="32"/>
          <w:szCs w:val="32"/>
        </w:rPr>
      </w:pPr>
    </w:p>
    <w:p>
      <w:pPr>
        <w:adjustRightInd w:val="0"/>
        <w:snapToGrid w:val="0"/>
        <w:spacing w:line="592" w:lineRule="exact"/>
        <w:rPr>
          <w:rFonts w:hint="eastAsia" w:eastAsia="仿宋_GB2312"/>
          <w:sz w:val="32"/>
          <w:szCs w:val="32"/>
        </w:rPr>
      </w:pPr>
    </w:p>
    <w:p>
      <w:pPr>
        <w:adjustRightInd w:val="0"/>
        <w:snapToGrid w:val="0"/>
        <w:spacing w:line="592" w:lineRule="exact"/>
        <w:rPr>
          <w:rFonts w:hint="eastAsia" w:eastAsia="仿宋_GB2312"/>
          <w:sz w:val="32"/>
          <w:szCs w:val="32"/>
        </w:rPr>
      </w:pPr>
    </w:p>
    <w:p>
      <w:pPr>
        <w:adjustRightInd w:val="0"/>
        <w:snapToGrid w:val="0"/>
        <w:spacing w:line="592" w:lineRule="exact"/>
        <w:rPr>
          <w:rFonts w:hint="eastAsia" w:eastAsia="仿宋_GB2312"/>
          <w:sz w:val="32"/>
          <w:szCs w:val="32"/>
        </w:rPr>
      </w:pPr>
    </w:p>
    <w:p>
      <w:pPr>
        <w:adjustRightInd w:val="0"/>
        <w:snapToGrid w:val="0"/>
        <w:spacing w:line="592" w:lineRule="exact"/>
        <w:rPr>
          <w:rFonts w:hint="eastAsia" w:eastAsia="仿宋_GB2312"/>
          <w:sz w:val="32"/>
          <w:szCs w:val="32"/>
        </w:rPr>
      </w:pPr>
    </w:p>
    <w:p>
      <w:pPr>
        <w:adjustRightInd w:val="0"/>
        <w:snapToGrid w:val="0"/>
        <w:spacing w:line="592" w:lineRule="exact"/>
        <w:rPr>
          <w:rFonts w:hint="eastAsia" w:eastAsia="仿宋_GB2312"/>
          <w:sz w:val="32"/>
          <w:szCs w:val="32"/>
        </w:rPr>
      </w:pPr>
    </w:p>
    <w:p>
      <w:pPr>
        <w:adjustRightInd w:val="0"/>
        <w:snapToGrid w:val="0"/>
        <w:spacing w:line="592" w:lineRule="exact"/>
        <w:rPr>
          <w:rFonts w:hint="eastAsia" w:eastAsia="仿宋_GB2312"/>
          <w:sz w:val="32"/>
          <w:szCs w:val="32"/>
        </w:rPr>
      </w:pPr>
    </w:p>
    <w:p>
      <w:pPr>
        <w:adjustRightInd w:val="0"/>
        <w:snapToGrid w:val="0"/>
        <w:spacing w:line="592" w:lineRule="exact"/>
        <w:rPr>
          <w:rFonts w:hint="eastAsia" w:eastAsia="仿宋_GB2312"/>
          <w:sz w:val="32"/>
          <w:szCs w:val="32"/>
        </w:rPr>
      </w:pPr>
      <w:bookmarkStart w:id="0" w:name="_GoBack"/>
      <w:bookmarkEnd w:id="0"/>
    </w:p>
    <w:p>
      <w:pPr>
        <w:adjustRightInd w:val="0"/>
        <w:snapToGrid w:val="0"/>
        <w:spacing w:line="592" w:lineRule="exact"/>
        <w:rPr>
          <w:rFonts w:hint="eastAsia" w:eastAsia="仿宋_GB2312"/>
          <w:sz w:val="32"/>
          <w:szCs w:val="32"/>
        </w:rPr>
      </w:pPr>
    </w:p>
    <w:p>
      <w:pPr>
        <w:spacing w:line="540" w:lineRule="exact"/>
        <w:ind w:left="1289" w:leftChars="134" w:right="294" w:rightChars="140" w:hanging="1008" w:hangingChars="315"/>
        <w:rPr>
          <w:rFonts w:hint="eastAsia" w:eastAsia="仿宋_GB2312"/>
          <w:sz w:val="28"/>
          <w:szCs w:val="28"/>
        </w:rPr>
      </w:pPr>
      <w:r>
        <w:rPr>
          <w:rFonts w:hint="eastAsia" w:eastAsia="仿宋_GB2312"/>
          <w:sz w:val="32"/>
          <w:szCs w:val="32"/>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293370</wp:posOffset>
                </wp:positionV>
                <wp:extent cx="5615940" cy="0"/>
                <wp:effectExtent l="0" t="0" r="0" b="0"/>
                <wp:wrapNone/>
                <wp:docPr id="9" name="直接连接符 9"/>
                <wp:cNvGraphicFramePr/>
                <a:graphic xmlns:a="http://schemas.openxmlformats.org/drawingml/2006/main">
                  <a:graphicData uri="http://schemas.microsoft.com/office/word/2010/wordprocessingShape">
                    <wps:wsp>
                      <wps:cNvCnPr/>
                      <wps:spPr>
                        <a:xfrm flipV="1">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23.1pt;height:0pt;width:442.2pt;z-index:251677696;mso-width-relative:page;mso-height-relative:page;" filled="f" stroked="t" coordsize="21600,21600" o:gfxdata="UEsDBAoAAAAAAIdO4kAAAAAAAAAAAAAAAAAEAAAAZHJzL1BLAwQUAAAACACHTuJAxatxR9UAAAAG&#10;AQAADwAAAGRycy9kb3ducmV2LnhtbE2PT0vDQBDF74LfYRnBm92kxBrSbHrwDwgSxOqlt2l2mgSz&#10;syE7Teu3d8WDHue9x3u/KTdnN6iZptB7NpAuElDEjbc9twY+3p9uclBBkC0OnsnAFwXYVJcXJRbW&#10;n/iN5q20KpZwKNBAJzIWWoemI4dh4Ufi6B385FDiObXaTniK5W7QyyRZaYc9x4UOR7rvqPncHp2B&#10;Oa359flx5x9esG5v09rumjsx5voqTdaghM7yF4Yf/IgOVWTa+yPboAYD8RExkK2WoKKb51kGav8r&#10;6KrU//Grb1BLAwQUAAAACACHTuJAz3cFSeIBAAChAwAADgAAAGRycy9lMm9Eb2MueG1srVNLjhMx&#10;EN0jcQfLe9JJxAyklc4sJgwbBCPx2Vf86bbkn1yedHIJLoDEDlYs2XMbhmNQdjLht0GIXpTKrupX&#10;9V6Vlxc7Z9lWJTTBd3w2mXKmvAjS+L7jr19dPXjMGWbwEmzwquN7hfxidf/ecoytmochWKkSIxCP&#10;7Rg7PuQc26ZBMSgHOAlReQrqkBxkOqa+kQlGQne2mU+n580YkowpCIVIt+tDkK8qvtZK5Bdao8rM&#10;dpx6y9WmajfFNqsltH2COBhxbAP+oQsHxlPRE9QaMrCbZP6AckakgEHniQiuCVoboSoHYjOb/sbm&#10;5QBRVS4kDsaTTPj/YMXz7XViRnZ8wZkHRyO6fff569sP3768J3v76SNbFJHGiC3lXvrrdDxhvE6F&#10;8U4nx7Q18Q3Nv2pArNiuSrw/Sax2mQm6PDufnS0e0iTEXaw5QBSomDA/VcGx4nTcGl/YQwvbZ5ip&#10;LKXepZRr69lINeePpgUPaHu0hUyui8QHfV9/xmCNvDLWll8w9ZtLm9gWyj7Ur7Aj4F/SSpU14HDI&#10;q6HDpgwK5BMvWd5HUsrTSvPSg1OSM6voBRSPAKHNYOzfZFJp66mDIvBB0uJtgtzTXG5iMv1AUsxq&#10;lyVCe1D7Pe5sWbSfzxXpx8taf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Fq3FH1QAAAAYBAAAP&#10;AAAAAAAAAAEAIAAAACIAAABkcnMvZG93bnJldi54bWxQSwECFAAUAAAACACHTuJAz3cFSeIBAACh&#10;AwAADgAAAAAAAAABACAAAAAkAQAAZHJzL2Uyb0RvYy54bWxQSwUGAAAAAAYABgBZAQAAeAUAAAAA&#10;">
                <v:fill on="f" focussize="0,0"/>
                <v:stroke weight="1pt" color="#000000" joinstyle="round"/>
                <v:imagedata o:title=""/>
                <o:lock v:ext="edit" aspectratio="f"/>
              </v:line>
            </w:pict>
          </mc:Fallback>
        </mc:AlternateContent>
      </w:r>
    </w:p>
    <w:p>
      <w:pPr>
        <w:tabs>
          <w:tab w:val="left" w:pos="8925"/>
        </w:tabs>
        <w:adjustRightInd w:val="0"/>
        <w:spacing w:line="500" w:lineRule="exact"/>
        <w:ind w:right="294" w:rightChars="140" w:firstLine="320" w:firstLineChars="100"/>
        <w:rPr>
          <w:rFonts w:hint="eastAsia" w:eastAsia="仿宋_GB2312"/>
          <w:sz w:val="32"/>
          <w:szCs w:val="32"/>
        </w:rPr>
      </w:pPr>
      <w:r>
        <w:rPr>
          <w:rFonts w:hint="eastAsia" w:eastAsia="仿宋_GB2312"/>
          <w:sz w:val="32"/>
          <w:szCs w:val="32"/>
        </w:rPr>
        <w:t xml:space="preserve">安徽省广播电视局办公室   </w:t>
      </w:r>
      <w:r>
        <w:rPr>
          <w:rFonts w:hint="eastAsia" w:eastAsia="仿宋_GB2312"/>
          <w:sz w:val="32"/>
          <w:szCs w:val="32"/>
          <w:lang w:val="en-US" w:eastAsia="zh-CN"/>
        </w:rPr>
        <w:t xml:space="preserve">   </w:t>
      </w:r>
      <w:r>
        <w:rPr>
          <w:rFonts w:hint="eastAsia" w:eastAsia="仿宋_GB2312"/>
          <w:sz w:val="32"/>
          <w:szCs w:val="32"/>
        </w:rPr>
        <w:t xml:space="preserve"> </w:t>
      </w:r>
      <w:r>
        <w:rPr>
          <w:rFonts w:hint="eastAsia" w:eastAsia="仿宋_GB2312"/>
          <w:sz w:val="32"/>
          <w:szCs w:val="32"/>
          <w:lang w:val="en-US" w:eastAsia="zh-CN"/>
        </w:rPr>
        <w:t xml:space="preserve"> </w:t>
      </w:r>
      <w:r>
        <w:rPr>
          <w:rFonts w:hint="eastAsia" w:eastAsia="仿宋_GB2312"/>
          <w:sz w:val="32"/>
          <w:szCs w:val="32"/>
        </w:rPr>
        <w:t xml:space="preserve">  20</w:t>
      </w:r>
      <w:r>
        <w:rPr>
          <w:rFonts w:hint="eastAsia" w:eastAsia="仿宋_GB2312"/>
          <w:sz w:val="32"/>
          <w:szCs w:val="32"/>
          <w:lang w:val="en-US" w:eastAsia="zh-CN"/>
        </w:rPr>
        <w:t>20</w:t>
      </w:r>
      <w:r>
        <w:rPr>
          <w:rFonts w:hint="eastAsia" w:eastAsia="仿宋_GB2312"/>
          <w:sz w:val="32"/>
          <w:szCs w:val="32"/>
        </w:rPr>
        <w:t>年</w:t>
      </w:r>
      <w:r>
        <w:rPr>
          <w:rFonts w:hint="eastAsia" w:eastAsia="仿宋_GB2312"/>
          <w:sz w:val="32"/>
          <w:szCs w:val="32"/>
          <w:lang w:val="en-US" w:eastAsia="zh-CN"/>
        </w:rPr>
        <w:t>6</w:t>
      </w:r>
      <w:r>
        <w:rPr>
          <w:rFonts w:hint="eastAsia" w:eastAsia="仿宋_GB2312"/>
          <w:sz w:val="32"/>
          <w:szCs w:val="32"/>
        </w:rPr>
        <w:t>月1</w:t>
      </w:r>
      <w:r>
        <w:rPr>
          <w:rFonts w:hint="eastAsia" w:eastAsia="仿宋_GB2312"/>
          <w:sz w:val="32"/>
          <w:szCs w:val="32"/>
          <w:lang w:val="en-US" w:eastAsia="zh-CN"/>
        </w:rPr>
        <w:t>7</w:t>
      </w:r>
      <w:r>
        <w:rPr>
          <w:rFonts w:hint="eastAsia" w:eastAsia="仿宋_GB2312"/>
          <w:sz w:val="32"/>
          <w:szCs w:val="32"/>
        </w:rPr>
        <w:t>日印发</w:t>
      </w:r>
    </w:p>
    <w:p>
      <w:pPr>
        <w:adjustRightInd w:val="0"/>
        <w:snapToGrid w:val="0"/>
        <w:spacing w:line="40" w:lineRule="exact"/>
        <w:rPr>
          <w:rFonts w:hint="eastAsia"/>
        </w:rPr>
      </w:pPr>
    </w:p>
    <w:p>
      <w:pPr>
        <w:rPr>
          <w:rFonts w:hint="eastAsia" w:eastAsia="宋体"/>
          <w:lang w:eastAsia="zh-CN"/>
        </w:rPr>
      </w:pPr>
      <w:r>
        <w:rPr>
          <w:rFonts w:hint="eastAsia" w:eastAsia="仿宋_GB2312"/>
          <w:sz w:val="32"/>
          <w:szCs w:val="32"/>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71755</wp:posOffset>
                </wp:positionV>
                <wp:extent cx="5615940" cy="0"/>
                <wp:effectExtent l="0" t="0" r="0" b="0"/>
                <wp:wrapNone/>
                <wp:docPr id="8" name="直接连接符 8"/>
                <wp:cNvGraphicFramePr/>
                <a:graphic xmlns:a="http://schemas.openxmlformats.org/drawingml/2006/main">
                  <a:graphicData uri="http://schemas.microsoft.com/office/word/2010/wordprocessingShape">
                    <wps:wsp>
                      <wps:cNvCnPr/>
                      <wps:spPr>
                        <a:xfrm flipV="1">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5.65pt;height:0pt;width:442.2pt;z-index:251667456;mso-width-relative:page;mso-height-relative:page;" filled="f" stroked="t" coordsize="21600,21600" o:gfxdata="UEsDBAoAAAAAAIdO4kAAAAAAAAAAAAAAAAAEAAAAZHJzL1BLAwQUAAAACACHTuJAyLeOi9QAAAAG&#10;AQAADwAAAGRycy9kb3ducmV2LnhtbE2PzU7DMBCE70i8g7VI3KhjKBCFOD3wIyGhqKJw6W0bL0lE&#10;vI5iNy1vzyIOcJyZ1cy35eroBzXTFPvAFswiA0XcBNdza+H97ekiBxUTssMhMFn4ogir6vSkxMKF&#10;A7/SvEmtkhKOBVroUhoLrWPTkce4CCOxZB9h8phETq12Ex6k3A/6MstutMeeZaHDke47aj43e29h&#10;NjWvnx+34eEF6/ba1G7b3CZrz89Mdgcq0TH9HcMPvqBDJUy7sGcX1WBBHknimitQkub5cglq92vo&#10;qtT/8atvUEsDBBQAAAAIAIdO4kCB9htF4QEAAKEDAAAOAAAAZHJzL2Uyb0RvYy54bWytU0uOEzEQ&#10;3SNxB8t70knEDEMrnVlMGDYIIvHZV/zptuSfXJ50cgkugMQOVizZcxuGY1B2MuG3QYhelMqu6lf1&#10;XpUXlztn2VYlNMF3fDaZcqa8CNL4vuOvX10/uOAMM3gJNnjV8b1Cfrm8f28xxlbNwxCsVIkRiMd2&#10;jB0fco5t06AYlAOchKg8BXVIDjIdU9/IBCOhO9vMp9PzZgxJxhSEQqTb1SHIlxVfayXyC61RZWY7&#10;Tr3lalO1m2Kb5QLaPkEcjDi2Af/QhQPjqegJagUZ2E0yf0A5I1LAoPNEBNcErY1QlQOxmU1/Y/Ny&#10;gKgqFxIH40km/H+w4vl2nZiRHadBeXA0ott3n7++/fDty3uyt58+sosi0hixpdwrv07HE8Z1Kox3&#10;OjmmrYlvaP5VA2LFdlXi/UlitctM0OXZ+ezs8UOahLiLNQeIAhUT5qcqOFacjlvjC3toYfsMM5Wl&#10;1LuUcm09G6nm/NG04AFtj7aQyXWR+KDv688YrJHXxtryC6Z+c2UT20LZh/oVdgT8S1qpsgIcDnk1&#10;dNiUQYF84iXL+0hKeVppXnpwSnJmFb2A4hEgtBmM/ZtMKm09dVAEPkhavE2Qe5rLTUymH0iKWe2y&#10;RGgPar/HnS2L9vO5Iv14Wc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yLeOi9QAAAAGAQAADwAA&#10;AAAAAAABACAAAAAiAAAAZHJzL2Rvd25yZXYueG1sUEsBAhQAFAAAAAgAh07iQIH2G0XhAQAAoQMA&#10;AA4AAAAAAAAAAQAgAAAAIwEAAGRycy9lMm9Eb2MueG1sUEsFBgAAAAAGAAYAWQEAAHYFAAAAAA==&#10;">
                <v:fill on="f" focussize="0,0"/>
                <v:stroke weight="1pt" color="#000000" joinstyle="round"/>
                <v:imagedata o:title=""/>
                <o:lock v:ext="edit" aspectratio="f"/>
              </v:line>
            </w:pict>
          </mc:Fallback>
        </mc:AlternateContent>
      </w:r>
    </w:p>
    <w:sectPr>
      <w:footerReference r:id="rId4" w:type="default"/>
      <w:pgSz w:w="11906" w:h="16838"/>
      <w:pgMar w:top="1701" w:right="1531" w:bottom="1440"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105" w:leftChars="50" w:right="105" w:rightChars="5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105" w:leftChars="50" w:right="105" w:rightChars="5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E90"/>
    <w:rsid w:val="001B5781"/>
    <w:rsid w:val="005639BF"/>
    <w:rsid w:val="006318A3"/>
    <w:rsid w:val="007B7CD9"/>
    <w:rsid w:val="00801AF1"/>
    <w:rsid w:val="00D31E90"/>
    <w:rsid w:val="00F52FD2"/>
    <w:rsid w:val="0AFF38AA"/>
    <w:rsid w:val="0B7601E5"/>
    <w:rsid w:val="10AA4342"/>
    <w:rsid w:val="110664B6"/>
    <w:rsid w:val="11B7277F"/>
    <w:rsid w:val="135F4FF0"/>
    <w:rsid w:val="140D1524"/>
    <w:rsid w:val="16DF5383"/>
    <w:rsid w:val="176B3DC0"/>
    <w:rsid w:val="1A180FC9"/>
    <w:rsid w:val="1C9C0B64"/>
    <w:rsid w:val="1CE9488C"/>
    <w:rsid w:val="1CEB457A"/>
    <w:rsid w:val="21454274"/>
    <w:rsid w:val="21475994"/>
    <w:rsid w:val="269061F7"/>
    <w:rsid w:val="279E3134"/>
    <w:rsid w:val="27E052D0"/>
    <w:rsid w:val="2B11163D"/>
    <w:rsid w:val="2B941369"/>
    <w:rsid w:val="30271B83"/>
    <w:rsid w:val="31F55320"/>
    <w:rsid w:val="34EB29B8"/>
    <w:rsid w:val="36564370"/>
    <w:rsid w:val="395120ED"/>
    <w:rsid w:val="3C2530D7"/>
    <w:rsid w:val="3EFB18E9"/>
    <w:rsid w:val="3F520F22"/>
    <w:rsid w:val="40652776"/>
    <w:rsid w:val="451353D5"/>
    <w:rsid w:val="46242308"/>
    <w:rsid w:val="46C6218D"/>
    <w:rsid w:val="47BB2D0A"/>
    <w:rsid w:val="55C43177"/>
    <w:rsid w:val="56753E3F"/>
    <w:rsid w:val="64D02EE6"/>
    <w:rsid w:val="668417DA"/>
    <w:rsid w:val="6B7C33DA"/>
    <w:rsid w:val="6C8F41DD"/>
    <w:rsid w:val="6F231F77"/>
    <w:rsid w:val="6FCD76BC"/>
    <w:rsid w:val="718576D9"/>
    <w:rsid w:val="73C04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rFonts w:ascii="Times New Roman" w:hAnsi="Times New Roman" w:eastAsia="宋体" w:cs="Times New Roman"/>
      <w:sz w:val="18"/>
      <w:szCs w:val="18"/>
    </w:rPr>
  </w:style>
  <w:style w:type="character" w:customStyle="1" w:styleId="8">
    <w:name w:val="页眉 Char"/>
    <w:basedOn w:val="6"/>
    <w:link w:val="4"/>
    <w:qFormat/>
    <w:uiPriority w:val="99"/>
    <w:rPr>
      <w:rFonts w:ascii="Times New Roman" w:hAnsi="Times New Roman" w:eastAsia="宋体" w:cs="Times New Roman"/>
      <w:sz w:val="18"/>
      <w:szCs w:val="18"/>
    </w:rPr>
  </w:style>
  <w:style w:type="character" w:customStyle="1" w:styleId="9">
    <w:name w:val="页脚 Char"/>
    <w:basedOn w:val="6"/>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12</Pages>
  <Words>5167</Words>
  <Characters>5190</Characters>
  <Lines>1</Lines>
  <Paragraphs>1</Paragraphs>
  <TotalTime>7</TotalTime>
  <ScaleCrop>false</ScaleCrop>
  <LinksUpToDate>false</LinksUpToDate>
  <CharactersWithSpaces>5272</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2020-06-17T02:14:00Z</dcterms:created>
  <dc:creator>zhuby</dc:creator>
  <cp:lastModifiedBy>Administrator</cp:lastModifiedBy>
  <cp:lastPrinted>2020-06-17T02:49:00Z</cp:lastPrinted>
  <dcterms:modified xsi:type="dcterms:W3CDTF">2020-06-29T02:35:48Z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